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64" w:rsidRDefault="00B83B64" w:rsidP="00BF2ECC">
      <w:pPr>
        <w:rPr>
          <w:color w:val="AA322F"/>
          <w:sz w:val="28"/>
        </w:rPr>
      </w:pPr>
      <w:bookmarkStart w:id="0" w:name="_Toc404328151"/>
      <w:r>
        <w:rPr>
          <w:color w:val="AA322F"/>
          <w:sz w:val="28"/>
        </w:rPr>
        <w:t>Summary of disclosure templates and tables</w:t>
      </w:r>
      <w:r w:rsidR="000301D4">
        <w:rPr>
          <w:rStyle w:val="FootnoteReference"/>
          <w:color w:val="AA322F"/>
          <w:sz w:val="28"/>
        </w:rPr>
        <w:footnoteReference w:id="1"/>
      </w:r>
      <w:r w:rsidR="00756650">
        <w:rPr>
          <w:color w:val="AA322F"/>
          <w:sz w:val="28"/>
        </w:rPr>
        <w:t xml:space="preserve"> </w:t>
      </w:r>
    </w:p>
    <w:p w:rsidR="0064032A" w:rsidRDefault="0064032A" w:rsidP="00BF2ECC">
      <w:pPr>
        <w:rPr>
          <w:color w:val="AA322F"/>
          <w:sz w:val="28"/>
        </w:rPr>
      </w:pPr>
      <w:r>
        <w:t>[Note:  For ease of reference,</w:t>
      </w:r>
      <w:r>
        <w:rPr>
          <w:rFonts w:cs="Segoe UI"/>
        </w:rPr>
        <w:t xml:space="preserve"> the title of templates that have been revised in this round of amendments are highlighted in blue.]</w:t>
      </w:r>
    </w:p>
    <w:tbl>
      <w:tblPr>
        <w:tblW w:w="1445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111"/>
        <w:gridCol w:w="992"/>
        <w:gridCol w:w="1624"/>
        <w:gridCol w:w="1244"/>
        <w:gridCol w:w="1134"/>
        <w:gridCol w:w="1134"/>
        <w:gridCol w:w="1276"/>
        <w:gridCol w:w="1101"/>
      </w:tblGrid>
      <w:tr w:rsidR="00BF2ECC" w:rsidTr="00CE1D6C">
        <w:trPr>
          <w:cantSplit/>
          <w:trHeight w:val="244"/>
          <w:tblHeader/>
        </w:trPr>
        <w:tc>
          <w:tcPr>
            <w:tcW w:w="1843" w:type="dxa"/>
            <w:vMerge w:val="restart"/>
            <w:tcBorders>
              <w:top w:val="single" w:sz="12" w:space="0" w:color="auto"/>
              <w:left w:val="nil"/>
              <w:right w:val="single" w:sz="12" w:space="0" w:color="auto"/>
            </w:tcBorders>
            <w:shd w:val="clear" w:color="auto" w:fill="BFBFBF"/>
            <w:vAlign w:val="center"/>
          </w:tcPr>
          <w:p w:rsidR="00BF2ECC" w:rsidRDefault="00BF2ECC">
            <w:pPr>
              <w:tabs>
                <w:tab w:val="left" w:pos="794"/>
              </w:tabs>
              <w:jc w:val="center"/>
              <w:rPr>
                <w:rFonts w:cs="Segoe UI"/>
                <w:b/>
                <w:lang w:eastAsia="en-GB"/>
              </w:rPr>
            </w:pPr>
            <w:r>
              <w:rPr>
                <w:rFonts w:cs="Segoe UI"/>
                <w:b/>
                <w:lang w:eastAsia="en-GB"/>
              </w:rPr>
              <w:t>Disclosure requirement</w:t>
            </w:r>
          </w:p>
        </w:tc>
        <w:tc>
          <w:tcPr>
            <w:tcW w:w="4111" w:type="dxa"/>
            <w:vMerge w:val="restart"/>
            <w:tcBorders>
              <w:top w:val="single" w:sz="12" w:space="0" w:color="auto"/>
              <w:left w:val="single" w:sz="12" w:space="0" w:color="auto"/>
              <w:right w:val="single" w:sz="12" w:space="0" w:color="auto"/>
            </w:tcBorders>
            <w:shd w:val="clear" w:color="auto" w:fill="BFBFBF"/>
            <w:vAlign w:val="center"/>
          </w:tcPr>
          <w:p w:rsidR="00BF2ECC" w:rsidRDefault="00A132E4" w:rsidP="0064032A">
            <w:pPr>
              <w:tabs>
                <w:tab w:val="left" w:pos="794"/>
              </w:tabs>
              <w:jc w:val="center"/>
              <w:rPr>
                <w:rFonts w:cs="Segoe UI"/>
                <w:b/>
                <w:lang w:eastAsia="en-GB"/>
              </w:rPr>
            </w:pPr>
            <w:r>
              <w:rPr>
                <w:rFonts w:cs="Segoe UI"/>
                <w:b/>
                <w:lang w:eastAsia="en-GB"/>
              </w:rPr>
              <w:t>Tables and templates</w:t>
            </w:r>
          </w:p>
        </w:tc>
        <w:tc>
          <w:tcPr>
            <w:tcW w:w="992" w:type="dxa"/>
            <w:vMerge w:val="restart"/>
            <w:tcBorders>
              <w:top w:val="single" w:sz="12" w:space="0" w:color="auto"/>
              <w:left w:val="single" w:sz="12" w:space="0" w:color="auto"/>
              <w:right w:val="single" w:sz="12" w:space="0" w:color="auto"/>
            </w:tcBorders>
            <w:shd w:val="clear" w:color="auto" w:fill="BFBFBF"/>
            <w:vAlign w:val="center"/>
          </w:tcPr>
          <w:p w:rsidR="00BF2ECC" w:rsidRDefault="00BF2ECC" w:rsidP="00C639E1">
            <w:pPr>
              <w:jc w:val="center"/>
              <w:rPr>
                <w:rFonts w:cs="Segoe UI"/>
                <w:b/>
                <w:lang w:eastAsia="en-GB"/>
              </w:rPr>
            </w:pPr>
            <w:r>
              <w:rPr>
                <w:rFonts w:cs="Segoe UI"/>
                <w:b/>
                <w:lang w:eastAsia="en-GB"/>
              </w:rPr>
              <w:t>Phase</w:t>
            </w:r>
          </w:p>
        </w:tc>
        <w:tc>
          <w:tcPr>
            <w:tcW w:w="1624" w:type="dxa"/>
            <w:vMerge w:val="restart"/>
            <w:tcBorders>
              <w:top w:val="single" w:sz="12" w:space="0" w:color="auto"/>
              <w:left w:val="single" w:sz="12" w:space="0" w:color="auto"/>
              <w:right w:val="single" w:sz="12" w:space="0" w:color="auto"/>
            </w:tcBorders>
            <w:shd w:val="clear" w:color="auto" w:fill="BFBFBF"/>
            <w:vAlign w:val="center"/>
          </w:tcPr>
          <w:p w:rsidR="00A132E4" w:rsidRDefault="00BF2ECC" w:rsidP="005001D9">
            <w:pPr>
              <w:jc w:val="center"/>
              <w:rPr>
                <w:rFonts w:cs="Segoe UI"/>
                <w:b/>
                <w:lang w:eastAsia="en-GB"/>
              </w:rPr>
            </w:pPr>
            <w:r>
              <w:rPr>
                <w:rFonts w:cs="Segoe UI"/>
                <w:b/>
                <w:lang w:eastAsia="en-GB"/>
              </w:rPr>
              <w:t>Applicability</w:t>
            </w:r>
            <w:r w:rsidR="00A4439D">
              <w:rPr>
                <w:rStyle w:val="FootnoteReference"/>
                <w:b/>
                <w:lang w:eastAsia="en-GB"/>
              </w:rPr>
              <w:footnoteReference w:id="2"/>
            </w:r>
          </w:p>
        </w:tc>
        <w:tc>
          <w:tcPr>
            <w:tcW w:w="2378"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BF2ECC" w:rsidRDefault="00BF2ECC">
            <w:pPr>
              <w:jc w:val="center"/>
              <w:rPr>
                <w:rFonts w:cs="Segoe UI"/>
                <w:b/>
                <w:lang w:eastAsia="en-GB"/>
              </w:rPr>
            </w:pPr>
            <w:r>
              <w:rPr>
                <w:rFonts w:cs="Segoe UI"/>
                <w:b/>
                <w:lang w:eastAsia="en-GB"/>
              </w:rPr>
              <w:t>Format</w:t>
            </w:r>
          </w:p>
        </w:tc>
        <w:tc>
          <w:tcPr>
            <w:tcW w:w="3511" w:type="dxa"/>
            <w:gridSpan w:val="3"/>
            <w:tcBorders>
              <w:top w:val="single" w:sz="12" w:space="0" w:color="auto"/>
              <w:left w:val="single" w:sz="12" w:space="0" w:color="auto"/>
              <w:bottom w:val="single" w:sz="12" w:space="0" w:color="auto"/>
              <w:right w:val="single" w:sz="12" w:space="0" w:color="auto"/>
            </w:tcBorders>
            <w:shd w:val="clear" w:color="auto" w:fill="BFBFBF"/>
            <w:vAlign w:val="center"/>
          </w:tcPr>
          <w:p w:rsidR="00BF2ECC" w:rsidRDefault="00BF2ECC">
            <w:pPr>
              <w:jc w:val="center"/>
              <w:rPr>
                <w:rFonts w:cs="Segoe UI"/>
                <w:b/>
                <w:lang w:eastAsia="en-GB"/>
              </w:rPr>
            </w:pPr>
            <w:r>
              <w:rPr>
                <w:rFonts w:cs="Segoe UI"/>
                <w:b/>
                <w:lang w:eastAsia="en-GB"/>
              </w:rPr>
              <w:t>Frequency of disclosure</w:t>
            </w:r>
          </w:p>
        </w:tc>
      </w:tr>
      <w:tr w:rsidR="00C639E1" w:rsidTr="00CE1D6C">
        <w:trPr>
          <w:cantSplit/>
          <w:trHeight w:val="283"/>
          <w:tblHeader/>
        </w:trPr>
        <w:tc>
          <w:tcPr>
            <w:tcW w:w="1843" w:type="dxa"/>
            <w:vMerge/>
            <w:tcBorders>
              <w:left w:val="nil"/>
              <w:bottom w:val="single" w:sz="12" w:space="0" w:color="auto"/>
              <w:right w:val="single" w:sz="12" w:space="0" w:color="auto"/>
            </w:tcBorders>
            <w:shd w:val="clear" w:color="auto" w:fill="BFBFBF"/>
          </w:tcPr>
          <w:p w:rsidR="00BF2ECC" w:rsidRDefault="00BF2ECC">
            <w:pPr>
              <w:tabs>
                <w:tab w:val="left" w:pos="794"/>
              </w:tabs>
              <w:jc w:val="center"/>
              <w:rPr>
                <w:rFonts w:cs="Segoe UI"/>
                <w:b/>
                <w:lang w:eastAsia="en-GB"/>
              </w:rPr>
            </w:pPr>
          </w:p>
        </w:tc>
        <w:tc>
          <w:tcPr>
            <w:tcW w:w="4111" w:type="dxa"/>
            <w:vMerge/>
            <w:tcBorders>
              <w:left w:val="single" w:sz="12" w:space="0" w:color="auto"/>
              <w:bottom w:val="single" w:sz="12" w:space="0" w:color="auto"/>
              <w:right w:val="single" w:sz="12" w:space="0" w:color="auto"/>
            </w:tcBorders>
            <w:shd w:val="clear" w:color="auto" w:fill="BFBFBF"/>
            <w:vAlign w:val="center"/>
          </w:tcPr>
          <w:p w:rsidR="00BF2ECC" w:rsidRDefault="00BF2ECC">
            <w:pPr>
              <w:tabs>
                <w:tab w:val="left" w:pos="794"/>
              </w:tabs>
              <w:jc w:val="center"/>
              <w:rPr>
                <w:rFonts w:cs="Segoe UI"/>
                <w:b/>
                <w:lang w:eastAsia="en-GB"/>
              </w:rPr>
            </w:pPr>
          </w:p>
        </w:tc>
        <w:tc>
          <w:tcPr>
            <w:tcW w:w="992" w:type="dxa"/>
            <w:vMerge/>
            <w:tcBorders>
              <w:left w:val="single" w:sz="12" w:space="0" w:color="auto"/>
              <w:bottom w:val="single" w:sz="12" w:space="0" w:color="auto"/>
              <w:right w:val="single" w:sz="12" w:space="0" w:color="auto"/>
            </w:tcBorders>
            <w:shd w:val="clear" w:color="auto" w:fill="BFBFBF"/>
          </w:tcPr>
          <w:p w:rsidR="00BF2ECC" w:rsidRDefault="00BF2ECC" w:rsidP="00C639E1">
            <w:pPr>
              <w:jc w:val="center"/>
              <w:rPr>
                <w:rFonts w:cs="Segoe UI"/>
                <w:b/>
                <w:lang w:eastAsia="en-GB"/>
              </w:rPr>
            </w:pPr>
          </w:p>
        </w:tc>
        <w:tc>
          <w:tcPr>
            <w:tcW w:w="1624" w:type="dxa"/>
            <w:vMerge/>
            <w:tcBorders>
              <w:left w:val="single" w:sz="12" w:space="0" w:color="auto"/>
              <w:bottom w:val="single" w:sz="12" w:space="0" w:color="auto"/>
              <w:right w:val="single" w:sz="12" w:space="0" w:color="auto"/>
            </w:tcBorders>
            <w:shd w:val="clear" w:color="auto" w:fill="BFBFBF"/>
            <w:vAlign w:val="center"/>
          </w:tcPr>
          <w:p w:rsidR="00BF2ECC" w:rsidRDefault="00BF2ECC">
            <w:pPr>
              <w:jc w:val="center"/>
              <w:rPr>
                <w:rFonts w:cs="Segoe UI"/>
                <w:b/>
                <w:lang w:eastAsia="en-GB"/>
              </w:rPr>
            </w:pPr>
          </w:p>
        </w:tc>
        <w:tc>
          <w:tcPr>
            <w:tcW w:w="1244" w:type="dxa"/>
            <w:tcBorders>
              <w:top w:val="single" w:sz="12" w:space="0" w:color="auto"/>
              <w:left w:val="single" w:sz="12" w:space="0" w:color="auto"/>
              <w:bottom w:val="single" w:sz="12" w:space="0" w:color="auto"/>
            </w:tcBorders>
            <w:shd w:val="clear" w:color="auto" w:fill="BFBFBF"/>
            <w:vAlign w:val="center"/>
          </w:tcPr>
          <w:p w:rsidR="00BF2ECC" w:rsidRDefault="00BF2ECC">
            <w:pPr>
              <w:jc w:val="center"/>
              <w:rPr>
                <w:rFonts w:cs="Segoe UI"/>
                <w:b/>
                <w:lang w:eastAsia="en-GB"/>
              </w:rPr>
            </w:pPr>
            <w:r>
              <w:rPr>
                <w:rFonts w:cs="Segoe UI"/>
                <w:b/>
                <w:lang w:eastAsia="en-GB"/>
              </w:rPr>
              <w:t>Fixed</w:t>
            </w:r>
          </w:p>
        </w:tc>
        <w:tc>
          <w:tcPr>
            <w:tcW w:w="1134" w:type="dxa"/>
            <w:tcBorders>
              <w:top w:val="single" w:sz="12" w:space="0" w:color="auto"/>
              <w:bottom w:val="single" w:sz="12" w:space="0" w:color="auto"/>
              <w:right w:val="single" w:sz="12" w:space="0" w:color="auto"/>
            </w:tcBorders>
            <w:shd w:val="clear" w:color="auto" w:fill="BFBFBF"/>
            <w:vAlign w:val="center"/>
          </w:tcPr>
          <w:p w:rsidR="00BF2ECC" w:rsidRDefault="00BF2ECC">
            <w:pPr>
              <w:jc w:val="center"/>
              <w:rPr>
                <w:rFonts w:cs="Segoe UI"/>
                <w:b/>
                <w:lang w:eastAsia="en-GB"/>
              </w:rPr>
            </w:pPr>
            <w:r>
              <w:rPr>
                <w:rFonts w:cs="Segoe UI"/>
                <w:b/>
                <w:lang w:eastAsia="en-GB"/>
              </w:rPr>
              <w:t>Flexible</w:t>
            </w:r>
          </w:p>
        </w:tc>
        <w:tc>
          <w:tcPr>
            <w:tcW w:w="1134" w:type="dxa"/>
            <w:tcBorders>
              <w:top w:val="single" w:sz="12" w:space="0" w:color="auto"/>
              <w:left w:val="single" w:sz="12" w:space="0" w:color="auto"/>
              <w:bottom w:val="single" w:sz="12" w:space="0" w:color="auto"/>
            </w:tcBorders>
            <w:shd w:val="clear" w:color="auto" w:fill="BFBFBF"/>
            <w:vAlign w:val="center"/>
          </w:tcPr>
          <w:p w:rsidR="00BF2ECC" w:rsidRDefault="00BF2ECC">
            <w:pPr>
              <w:jc w:val="center"/>
              <w:rPr>
                <w:rFonts w:cs="Segoe UI"/>
                <w:b/>
                <w:lang w:eastAsia="en-GB"/>
              </w:rPr>
            </w:pPr>
            <w:r>
              <w:rPr>
                <w:rFonts w:cs="Segoe UI"/>
                <w:b/>
                <w:lang w:eastAsia="en-GB"/>
              </w:rPr>
              <w:t>Quarterly</w:t>
            </w:r>
          </w:p>
        </w:tc>
        <w:tc>
          <w:tcPr>
            <w:tcW w:w="1276" w:type="dxa"/>
            <w:tcBorders>
              <w:top w:val="single" w:sz="12" w:space="0" w:color="auto"/>
              <w:bottom w:val="single" w:sz="12" w:space="0" w:color="auto"/>
            </w:tcBorders>
            <w:shd w:val="clear" w:color="auto" w:fill="BFBFBF"/>
            <w:vAlign w:val="center"/>
          </w:tcPr>
          <w:p w:rsidR="00BF2ECC" w:rsidRDefault="00BF2ECC">
            <w:pPr>
              <w:jc w:val="center"/>
              <w:rPr>
                <w:rFonts w:cs="Segoe UI"/>
                <w:b/>
                <w:lang w:eastAsia="en-GB"/>
              </w:rPr>
            </w:pPr>
            <w:r>
              <w:rPr>
                <w:rFonts w:cs="Segoe UI"/>
                <w:b/>
                <w:lang w:eastAsia="en-GB"/>
              </w:rPr>
              <w:t>Semi-</w:t>
            </w:r>
          </w:p>
          <w:p w:rsidR="00BF2ECC" w:rsidRDefault="00BF2ECC">
            <w:pPr>
              <w:jc w:val="center"/>
              <w:rPr>
                <w:rFonts w:cs="Segoe UI"/>
                <w:b/>
                <w:lang w:eastAsia="en-GB"/>
              </w:rPr>
            </w:pPr>
            <w:r>
              <w:rPr>
                <w:rFonts w:cs="Segoe UI"/>
                <w:b/>
                <w:lang w:eastAsia="en-GB"/>
              </w:rPr>
              <w:t>annual</w:t>
            </w:r>
          </w:p>
        </w:tc>
        <w:tc>
          <w:tcPr>
            <w:tcW w:w="1101" w:type="dxa"/>
            <w:tcBorders>
              <w:top w:val="single" w:sz="12" w:space="0" w:color="auto"/>
              <w:bottom w:val="single" w:sz="12" w:space="0" w:color="auto"/>
              <w:right w:val="single" w:sz="12" w:space="0" w:color="auto"/>
            </w:tcBorders>
            <w:shd w:val="clear" w:color="auto" w:fill="BFBFBF"/>
            <w:vAlign w:val="center"/>
          </w:tcPr>
          <w:p w:rsidR="00BF2ECC" w:rsidRDefault="00BF2ECC">
            <w:pPr>
              <w:jc w:val="center"/>
              <w:rPr>
                <w:rFonts w:cs="Segoe UI"/>
                <w:b/>
                <w:lang w:eastAsia="en-GB"/>
              </w:rPr>
            </w:pPr>
            <w:r>
              <w:rPr>
                <w:rFonts w:cs="Segoe UI"/>
                <w:b/>
                <w:lang w:eastAsia="en-GB"/>
              </w:rPr>
              <w:t>Annual</w:t>
            </w:r>
          </w:p>
        </w:tc>
      </w:tr>
      <w:tr w:rsidR="007136E5" w:rsidTr="009A68E3">
        <w:trPr>
          <w:cantSplit/>
          <w:trHeight w:val="283"/>
        </w:trPr>
        <w:tc>
          <w:tcPr>
            <w:tcW w:w="1843" w:type="dxa"/>
            <w:vMerge w:val="restart"/>
            <w:tcBorders>
              <w:top w:val="single" w:sz="12" w:space="0" w:color="auto"/>
              <w:left w:val="nil"/>
              <w:right w:val="single" w:sz="12" w:space="0" w:color="auto"/>
            </w:tcBorders>
          </w:tcPr>
          <w:p w:rsidR="00BF2ECC" w:rsidRDefault="00BF2ECC" w:rsidP="001B61CF">
            <w:pPr>
              <w:rPr>
                <w:rFonts w:cs="Segoe UI"/>
                <w:lang w:eastAsia="en-GB"/>
              </w:rPr>
            </w:pPr>
            <w:r>
              <w:rPr>
                <w:rFonts w:cs="Segoe UI"/>
                <w:lang w:eastAsia="en-GB"/>
              </w:rPr>
              <w:t xml:space="preserve">Part I : </w:t>
            </w:r>
            <w:r w:rsidR="001B61CF" w:rsidRPr="005D7A74">
              <w:rPr>
                <w:rFonts w:cs="Segoe UI"/>
                <w:lang w:eastAsia="en-GB"/>
              </w:rPr>
              <w:t>Key prudential ratios,</w:t>
            </w:r>
            <w:r w:rsidR="001B61CF">
              <w:rPr>
                <w:rFonts w:cs="Segoe UI"/>
                <w:lang w:eastAsia="en-GB"/>
              </w:rPr>
              <w:t xml:space="preserve"> o</w:t>
            </w:r>
            <w:r w:rsidR="001B61CF" w:rsidRPr="00F914B1">
              <w:rPr>
                <w:rFonts w:cs="Segoe UI"/>
                <w:lang w:eastAsia="en-GB"/>
              </w:rPr>
              <w:t>verview of risk management and RWA</w:t>
            </w:r>
            <w:r w:rsidR="001B61CF" w:rsidDel="001B61CF">
              <w:rPr>
                <w:rFonts w:cs="Segoe UI"/>
                <w:lang w:eastAsia="en-GB"/>
              </w:rPr>
              <w:t xml:space="preserve"> </w:t>
            </w:r>
          </w:p>
        </w:tc>
        <w:tc>
          <w:tcPr>
            <w:tcW w:w="4111" w:type="dxa"/>
            <w:tcBorders>
              <w:top w:val="single" w:sz="12" w:space="0" w:color="auto"/>
              <w:left w:val="single" w:sz="12" w:space="0" w:color="auto"/>
              <w:bottom w:val="single" w:sz="4" w:space="0" w:color="auto"/>
              <w:right w:val="single" w:sz="12" w:space="0" w:color="auto"/>
            </w:tcBorders>
            <w:shd w:val="clear" w:color="auto" w:fill="auto"/>
          </w:tcPr>
          <w:p w:rsidR="00BF2ECC" w:rsidRDefault="00BF2ECC">
            <w:pPr>
              <w:rPr>
                <w:rFonts w:cs="Segoe UI"/>
                <w:lang w:eastAsia="en-GB"/>
              </w:rPr>
            </w:pPr>
            <w:r>
              <w:rPr>
                <w:rFonts w:cs="Segoe UI"/>
                <w:lang w:eastAsia="en-GB"/>
              </w:rPr>
              <w:t>Table OVA: Overview of risk management</w:t>
            </w:r>
          </w:p>
        </w:tc>
        <w:tc>
          <w:tcPr>
            <w:tcW w:w="992" w:type="dxa"/>
            <w:tcBorders>
              <w:top w:val="single" w:sz="12" w:space="0" w:color="auto"/>
              <w:left w:val="single" w:sz="12" w:space="0" w:color="auto"/>
              <w:bottom w:val="single" w:sz="4" w:space="0" w:color="auto"/>
              <w:right w:val="single" w:sz="12" w:space="0" w:color="auto"/>
            </w:tcBorders>
          </w:tcPr>
          <w:p w:rsidR="00BF2ECC" w:rsidRDefault="00C639E1" w:rsidP="00C639E1">
            <w:pPr>
              <w:jc w:val="center"/>
              <w:rPr>
                <w:rFonts w:cs="Segoe UI"/>
                <w:lang w:eastAsia="en-GB"/>
              </w:rPr>
            </w:pPr>
            <w:r>
              <w:rPr>
                <w:rFonts w:cs="Segoe UI"/>
                <w:lang w:eastAsia="en-GB"/>
              </w:rPr>
              <w:t>I</w:t>
            </w:r>
          </w:p>
        </w:tc>
        <w:tc>
          <w:tcPr>
            <w:tcW w:w="1624" w:type="dxa"/>
            <w:tcBorders>
              <w:top w:val="single" w:sz="12" w:space="0" w:color="auto"/>
              <w:left w:val="single" w:sz="12" w:space="0" w:color="auto"/>
              <w:bottom w:val="single" w:sz="4" w:space="0" w:color="auto"/>
              <w:right w:val="single" w:sz="12" w:space="0" w:color="auto"/>
            </w:tcBorders>
            <w:shd w:val="clear" w:color="auto" w:fill="auto"/>
            <w:vAlign w:val="center"/>
          </w:tcPr>
          <w:p w:rsidR="00BF2ECC" w:rsidRDefault="001B61CF">
            <w:pPr>
              <w:jc w:val="center"/>
              <w:rPr>
                <w:rFonts w:cs="Segoe UI"/>
                <w:lang w:eastAsia="en-GB"/>
              </w:rPr>
            </w:pPr>
            <w:r w:rsidRPr="009A68E3">
              <w:rPr>
                <w:rFonts w:cs="Segoe UI"/>
                <w:noProof/>
                <w:lang w:eastAsia="en-GB"/>
              </w:rPr>
              <w:t>L</w:t>
            </w:r>
          </w:p>
        </w:tc>
        <w:tc>
          <w:tcPr>
            <w:tcW w:w="1244" w:type="dxa"/>
            <w:tcBorders>
              <w:top w:val="single" w:sz="12" w:space="0" w:color="auto"/>
              <w:left w:val="single" w:sz="12" w:space="0" w:color="auto"/>
              <w:bottom w:val="single" w:sz="4" w:space="0" w:color="auto"/>
            </w:tcBorders>
            <w:shd w:val="clear" w:color="auto" w:fill="auto"/>
            <w:vAlign w:val="center"/>
          </w:tcPr>
          <w:p w:rsidR="00BF2ECC" w:rsidRDefault="00BF2ECC">
            <w:pPr>
              <w:rPr>
                <w:rFonts w:cs="Segoe UI"/>
                <w:lang w:eastAsia="en-GB"/>
              </w:rPr>
            </w:pPr>
          </w:p>
        </w:tc>
        <w:tc>
          <w:tcPr>
            <w:tcW w:w="1134" w:type="dxa"/>
            <w:tcBorders>
              <w:top w:val="single" w:sz="12" w:space="0" w:color="auto"/>
              <w:bottom w:val="single" w:sz="4" w:space="0" w:color="auto"/>
              <w:right w:val="single" w:sz="12" w:space="0" w:color="auto"/>
            </w:tcBorders>
            <w:shd w:val="clear" w:color="auto" w:fill="auto"/>
            <w:vAlign w:val="center"/>
          </w:tcPr>
          <w:p w:rsidR="00BF2ECC" w:rsidRDefault="00BF2ECC">
            <w:pPr>
              <w:jc w:val="center"/>
              <w:rPr>
                <w:rFonts w:cs="Segoe UI"/>
                <w:noProof/>
                <w:lang w:eastAsia="en-GB"/>
              </w:rPr>
            </w:pPr>
            <w:r>
              <w:rPr>
                <w:rFonts w:cs="Segoe UI"/>
                <w:lang w:eastAsia="en-GB"/>
              </w:rPr>
              <w:sym w:font="Wingdings 2" w:char="F050"/>
            </w:r>
          </w:p>
        </w:tc>
        <w:tc>
          <w:tcPr>
            <w:tcW w:w="1134" w:type="dxa"/>
            <w:tcBorders>
              <w:top w:val="single" w:sz="12" w:space="0" w:color="auto"/>
              <w:left w:val="single" w:sz="12" w:space="0" w:color="auto"/>
              <w:bottom w:val="single" w:sz="4" w:space="0" w:color="auto"/>
            </w:tcBorders>
            <w:shd w:val="clear" w:color="auto" w:fill="auto"/>
            <w:vAlign w:val="center"/>
          </w:tcPr>
          <w:p w:rsidR="00BF2ECC" w:rsidRDefault="00BF2ECC">
            <w:pPr>
              <w:rPr>
                <w:rFonts w:cs="Segoe UI"/>
                <w:lang w:eastAsia="en-GB"/>
              </w:rPr>
            </w:pPr>
          </w:p>
        </w:tc>
        <w:tc>
          <w:tcPr>
            <w:tcW w:w="1276" w:type="dxa"/>
            <w:tcBorders>
              <w:top w:val="single" w:sz="12" w:space="0" w:color="auto"/>
              <w:bottom w:val="single" w:sz="4" w:space="0" w:color="auto"/>
            </w:tcBorders>
            <w:shd w:val="clear" w:color="auto" w:fill="auto"/>
            <w:vAlign w:val="center"/>
          </w:tcPr>
          <w:p w:rsidR="00BF2ECC" w:rsidRDefault="00BF2ECC">
            <w:pPr>
              <w:rPr>
                <w:rFonts w:cs="Segoe UI"/>
                <w:lang w:eastAsia="en-GB"/>
              </w:rPr>
            </w:pPr>
          </w:p>
        </w:tc>
        <w:tc>
          <w:tcPr>
            <w:tcW w:w="1101" w:type="dxa"/>
            <w:tcBorders>
              <w:top w:val="single" w:sz="12" w:space="0" w:color="auto"/>
              <w:bottom w:val="single" w:sz="4" w:space="0" w:color="auto"/>
              <w:right w:val="single" w:sz="12" w:space="0" w:color="auto"/>
            </w:tcBorders>
            <w:shd w:val="clear" w:color="auto" w:fill="auto"/>
            <w:vAlign w:val="center"/>
          </w:tcPr>
          <w:p w:rsidR="00BF2ECC" w:rsidRDefault="00BF2ECC">
            <w:pPr>
              <w:jc w:val="center"/>
              <w:rPr>
                <w:rFonts w:cs="Segoe UI"/>
                <w:noProof/>
                <w:lang w:eastAsia="en-GB"/>
              </w:rPr>
            </w:pPr>
            <w:r>
              <w:rPr>
                <w:rFonts w:cs="Segoe UI"/>
                <w:lang w:eastAsia="en-GB"/>
              </w:rPr>
              <w:sym w:font="Wingdings 2" w:char="F050"/>
            </w:r>
          </w:p>
        </w:tc>
      </w:tr>
      <w:tr w:rsidR="001B61CF" w:rsidTr="009A68E3">
        <w:trPr>
          <w:cantSplit/>
          <w:trHeight w:val="283"/>
        </w:trPr>
        <w:tc>
          <w:tcPr>
            <w:tcW w:w="1843" w:type="dxa"/>
            <w:vMerge/>
            <w:tcBorders>
              <w:top w:val="single" w:sz="12" w:space="0" w:color="auto"/>
              <w:left w:val="nil"/>
              <w:right w:val="single" w:sz="12" w:space="0" w:color="auto"/>
            </w:tcBorders>
          </w:tcPr>
          <w:p w:rsidR="001B61CF" w:rsidRDefault="001B61CF" w:rsidP="001B61CF">
            <w:pPr>
              <w:rPr>
                <w:rFonts w:cs="Segoe UI"/>
                <w:lang w:eastAsia="en-GB"/>
              </w:rPr>
            </w:pPr>
          </w:p>
        </w:tc>
        <w:tc>
          <w:tcPr>
            <w:tcW w:w="4111" w:type="dxa"/>
            <w:tcBorders>
              <w:top w:val="single" w:sz="4" w:space="0" w:color="auto"/>
              <w:left w:val="single" w:sz="12" w:space="0" w:color="auto"/>
              <w:bottom w:val="single" w:sz="4" w:space="0" w:color="auto"/>
              <w:right w:val="single" w:sz="12" w:space="0" w:color="auto"/>
            </w:tcBorders>
            <w:shd w:val="clear" w:color="auto" w:fill="auto"/>
          </w:tcPr>
          <w:p w:rsidR="001B61CF" w:rsidRDefault="001B61CF">
            <w:pPr>
              <w:rPr>
                <w:rFonts w:cs="Segoe UI"/>
                <w:lang w:eastAsia="en-GB"/>
              </w:rPr>
            </w:pPr>
            <w:r>
              <w:rPr>
                <w:rFonts w:cs="Segoe UI"/>
                <w:lang w:eastAsia="en-GB"/>
              </w:rPr>
              <w:t>Template</w:t>
            </w:r>
            <w:r w:rsidRPr="00F914B1">
              <w:rPr>
                <w:rFonts w:cs="Segoe UI"/>
                <w:lang w:eastAsia="en-GB"/>
              </w:rPr>
              <w:t xml:space="preserve"> </w:t>
            </w:r>
            <w:r w:rsidRPr="003C0ABE">
              <w:rPr>
                <w:rFonts w:cs="Segoe UI"/>
                <w:lang w:eastAsia="en-GB"/>
              </w:rPr>
              <w:t>KM1</w:t>
            </w:r>
            <w:r>
              <w:rPr>
                <w:rFonts w:cs="Segoe UI"/>
                <w:lang w:eastAsia="en-GB"/>
              </w:rPr>
              <w:t xml:space="preserve">: </w:t>
            </w:r>
            <w:r w:rsidRPr="00E630AD">
              <w:rPr>
                <w:rFonts w:cs="Segoe UI"/>
                <w:lang w:eastAsia="en-GB"/>
              </w:rPr>
              <w:t>Key prudential ratios</w:t>
            </w:r>
          </w:p>
        </w:tc>
        <w:tc>
          <w:tcPr>
            <w:tcW w:w="992" w:type="dxa"/>
            <w:tcBorders>
              <w:top w:val="single" w:sz="4" w:space="0" w:color="auto"/>
              <w:left w:val="single" w:sz="12" w:space="0" w:color="auto"/>
              <w:bottom w:val="single" w:sz="4" w:space="0" w:color="auto"/>
              <w:right w:val="single" w:sz="12" w:space="0" w:color="auto"/>
            </w:tcBorders>
          </w:tcPr>
          <w:p w:rsidR="001B61CF" w:rsidRDefault="001B61CF" w:rsidP="00C639E1">
            <w:pPr>
              <w:jc w:val="center"/>
              <w:rPr>
                <w:rFonts w:cs="Segoe UI"/>
                <w:lang w:eastAsia="en-GB"/>
              </w:rPr>
            </w:pPr>
            <w:r>
              <w:rPr>
                <w:rFonts w:cs="Segoe UI"/>
                <w:lang w:eastAsia="en-GB"/>
              </w:rPr>
              <w:t>II</w:t>
            </w:r>
          </w:p>
        </w:tc>
        <w:tc>
          <w:tcPr>
            <w:tcW w:w="1624" w:type="dxa"/>
            <w:tcBorders>
              <w:top w:val="single" w:sz="4" w:space="0" w:color="auto"/>
              <w:left w:val="single" w:sz="12" w:space="0" w:color="auto"/>
              <w:bottom w:val="single" w:sz="4" w:space="0" w:color="auto"/>
              <w:right w:val="single" w:sz="12" w:space="0" w:color="auto"/>
            </w:tcBorders>
            <w:shd w:val="clear" w:color="auto" w:fill="auto"/>
            <w:vAlign w:val="center"/>
          </w:tcPr>
          <w:p w:rsidR="001B61CF" w:rsidDel="001B61CF" w:rsidRDefault="001B61CF">
            <w:pPr>
              <w:jc w:val="center"/>
              <w:rPr>
                <w:rFonts w:cs="Segoe UI"/>
                <w:noProof/>
                <w:lang w:eastAsia="en-GB"/>
              </w:rPr>
            </w:pPr>
            <w:r w:rsidRPr="003936F9">
              <w:rPr>
                <w:rFonts w:cs="Segoe UI" w:hint="eastAsia"/>
                <w:noProof/>
                <w:lang w:eastAsia="en-GB"/>
              </w:rPr>
              <w:t>L</w:t>
            </w:r>
          </w:p>
        </w:tc>
        <w:tc>
          <w:tcPr>
            <w:tcW w:w="1244" w:type="dxa"/>
            <w:tcBorders>
              <w:top w:val="single" w:sz="4" w:space="0" w:color="auto"/>
              <w:left w:val="single" w:sz="12" w:space="0" w:color="auto"/>
              <w:bottom w:val="single" w:sz="4" w:space="0" w:color="auto"/>
            </w:tcBorders>
            <w:shd w:val="clear" w:color="auto" w:fill="auto"/>
            <w:vAlign w:val="center"/>
          </w:tcPr>
          <w:p w:rsidR="001B61CF" w:rsidRDefault="001B61CF" w:rsidP="009A68E3">
            <w:pPr>
              <w:jc w:val="center"/>
              <w:rPr>
                <w:rFonts w:cs="Segoe UI"/>
                <w:lang w:eastAsia="en-GB"/>
              </w:rPr>
            </w:pPr>
            <w:r>
              <w:rPr>
                <w:rFonts w:cs="Segoe UI"/>
                <w:lang w:eastAsia="en-GB"/>
              </w:rPr>
              <w:sym w:font="Wingdings 2" w:char="F050"/>
            </w:r>
          </w:p>
        </w:tc>
        <w:tc>
          <w:tcPr>
            <w:tcW w:w="1134" w:type="dxa"/>
            <w:tcBorders>
              <w:top w:val="single" w:sz="4" w:space="0" w:color="auto"/>
              <w:bottom w:val="single" w:sz="4" w:space="0" w:color="auto"/>
              <w:right w:val="single" w:sz="12" w:space="0" w:color="auto"/>
            </w:tcBorders>
            <w:shd w:val="clear" w:color="auto" w:fill="auto"/>
            <w:vAlign w:val="center"/>
          </w:tcPr>
          <w:p w:rsidR="001B61CF" w:rsidRDefault="001B61CF">
            <w:pPr>
              <w:jc w:val="center"/>
              <w:rPr>
                <w:rFonts w:cs="Segoe UI"/>
                <w:lang w:eastAsia="en-GB"/>
              </w:rPr>
            </w:pPr>
          </w:p>
        </w:tc>
        <w:tc>
          <w:tcPr>
            <w:tcW w:w="1134" w:type="dxa"/>
            <w:tcBorders>
              <w:top w:val="single" w:sz="4" w:space="0" w:color="auto"/>
              <w:left w:val="single" w:sz="12" w:space="0" w:color="auto"/>
              <w:bottom w:val="single" w:sz="4" w:space="0" w:color="auto"/>
            </w:tcBorders>
            <w:shd w:val="clear" w:color="auto" w:fill="auto"/>
            <w:vAlign w:val="center"/>
          </w:tcPr>
          <w:p w:rsidR="001B61CF" w:rsidRDefault="001B61CF" w:rsidP="009A68E3">
            <w:pPr>
              <w:jc w:val="center"/>
              <w:rPr>
                <w:rFonts w:cs="Segoe UI"/>
                <w:lang w:eastAsia="en-GB"/>
              </w:rPr>
            </w:pPr>
            <w:r>
              <w:rPr>
                <w:rFonts w:cs="Segoe UI"/>
                <w:lang w:eastAsia="en-GB"/>
              </w:rPr>
              <w:sym w:font="Wingdings 2" w:char="F050"/>
            </w:r>
          </w:p>
        </w:tc>
        <w:tc>
          <w:tcPr>
            <w:tcW w:w="1276" w:type="dxa"/>
            <w:tcBorders>
              <w:top w:val="single" w:sz="4" w:space="0" w:color="auto"/>
              <w:bottom w:val="single" w:sz="4" w:space="0" w:color="auto"/>
            </w:tcBorders>
            <w:shd w:val="clear" w:color="auto" w:fill="auto"/>
            <w:vAlign w:val="center"/>
          </w:tcPr>
          <w:p w:rsidR="001B61CF" w:rsidRDefault="001B61CF">
            <w:pPr>
              <w:rPr>
                <w:rFonts w:cs="Segoe UI"/>
                <w:lang w:eastAsia="en-GB"/>
              </w:rPr>
            </w:pPr>
          </w:p>
        </w:tc>
        <w:tc>
          <w:tcPr>
            <w:tcW w:w="1101" w:type="dxa"/>
            <w:tcBorders>
              <w:top w:val="single" w:sz="4" w:space="0" w:color="auto"/>
              <w:bottom w:val="single" w:sz="4" w:space="0" w:color="auto"/>
              <w:right w:val="single" w:sz="12" w:space="0" w:color="auto"/>
            </w:tcBorders>
            <w:shd w:val="clear" w:color="auto" w:fill="auto"/>
            <w:vAlign w:val="center"/>
          </w:tcPr>
          <w:p w:rsidR="001B61CF" w:rsidRDefault="001B61CF">
            <w:pPr>
              <w:jc w:val="center"/>
              <w:rPr>
                <w:rFonts w:cs="Segoe UI"/>
                <w:lang w:eastAsia="en-GB"/>
              </w:rPr>
            </w:pPr>
          </w:p>
        </w:tc>
      </w:tr>
      <w:tr w:rsidR="007136E5" w:rsidTr="009A68E3">
        <w:trPr>
          <w:cantSplit/>
          <w:trHeight w:val="283"/>
        </w:trPr>
        <w:tc>
          <w:tcPr>
            <w:tcW w:w="1843" w:type="dxa"/>
            <w:vMerge/>
            <w:tcBorders>
              <w:left w:val="nil"/>
              <w:bottom w:val="single" w:sz="12" w:space="0" w:color="auto"/>
              <w:right w:val="single" w:sz="12" w:space="0" w:color="auto"/>
            </w:tcBorders>
          </w:tcPr>
          <w:p w:rsidR="00BF2ECC" w:rsidRDefault="00BF2ECC">
            <w:pPr>
              <w:rPr>
                <w:rFonts w:cs="Segoe UI"/>
                <w:lang w:eastAsia="en-GB"/>
              </w:rPr>
            </w:pPr>
          </w:p>
        </w:tc>
        <w:tc>
          <w:tcPr>
            <w:tcW w:w="4111" w:type="dxa"/>
            <w:tcBorders>
              <w:top w:val="single" w:sz="4" w:space="0" w:color="auto"/>
              <w:left w:val="single" w:sz="12" w:space="0" w:color="auto"/>
              <w:bottom w:val="single" w:sz="12" w:space="0" w:color="auto"/>
              <w:right w:val="single" w:sz="12" w:space="0" w:color="auto"/>
            </w:tcBorders>
            <w:shd w:val="clear" w:color="auto" w:fill="8EAADB" w:themeFill="accent5" w:themeFillTint="99"/>
          </w:tcPr>
          <w:p w:rsidR="00BF2ECC" w:rsidRDefault="00BF2ECC" w:rsidP="00BF2ECC">
            <w:pPr>
              <w:rPr>
                <w:rFonts w:cs="Segoe UI"/>
                <w:lang w:eastAsia="en-GB"/>
              </w:rPr>
            </w:pPr>
            <w:r>
              <w:rPr>
                <w:rFonts w:cs="Segoe UI"/>
                <w:lang w:eastAsia="en-GB"/>
              </w:rPr>
              <w:t xml:space="preserve">Template OV1: Overview of RWA </w:t>
            </w:r>
          </w:p>
        </w:tc>
        <w:tc>
          <w:tcPr>
            <w:tcW w:w="992" w:type="dxa"/>
            <w:tcBorders>
              <w:top w:val="single" w:sz="4" w:space="0" w:color="auto"/>
              <w:left w:val="single" w:sz="12" w:space="0" w:color="auto"/>
              <w:bottom w:val="single" w:sz="12" w:space="0" w:color="auto"/>
              <w:right w:val="single" w:sz="12" w:space="0" w:color="auto"/>
            </w:tcBorders>
          </w:tcPr>
          <w:p w:rsidR="00BF2ECC" w:rsidRDefault="00BF2ECC" w:rsidP="00C639E1">
            <w:pPr>
              <w:jc w:val="center"/>
              <w:rPr>
                <w:rFonts w:cs="Segoe UI"/>
                <w:noProof/>
                <w:lang w:eastAsia="en-GB"/>
              </w:rPr>
            </w:pPr>
            <w:r>
              <w:rPr>
                <w:rFonts w:cs="Segoe UI"/>
                <w:noProof/>
                <w:lang w:eastAsia="en-GB"/>
              </w:rPr>
              <w:t>II</w:t>
            </w:r>
          </w:p>
        </w:tc>
        <w:tc>
          <w:tcPr>
            <w:tcW w:w="1624" w:type="dxa"/>
            <w:tcBorders>
              <w:top w:val="single" w:sz="4" w:space="0" w:color="auto"/>
              <w:left w:val="single" w:sz="12" w:space="0" w:color="auto"/>
              <w:bottom w:val="single" w:sz="12" w:space="0" w:color="auto"/>
              <w:right w:val="single" w:sz="12" w:space="0" w:color="auto"/>
            </w:tcBorders>
            <w:shd w:val="clear" w:color="auto" w:fill="auto"/>
          </w:tcPr>
          <w:p w:rsidR="00BF2ECC" w:rsidRDefault="001B61CF">
            <w:pPr>
              <w:jc w:val="center"/>
              <w:rPr>
                <w:rFonts w:cs="Segoe UI"/>
                <w:noProof/>
                <w:lang w:eastAsia="en-GB"/>
              </w:rPr>
            </w:pPr>
            <w:r w:rsidRPr="003936F9">
              <w:rPr>
                <w:rFonts w:cs="Segoe UI" w:hint="eastAsia"/>
                <w:noProof/>
                <w:lang w:eastAsia="en-GB"/>
              </w:rPr>
              <w:t>L</w:t>
            </w:r>
          </w:p>
        </w:tc>
        <w:tc>
          <w:tcPr>
            <w:tcW w:w="1244" w:type="dxa"/>
            <w:tcBorders>
              <w:top w:val="single" w:sz="4" w:space="0" w:color="auto"/>
              <w:left w:val="single" w:sz="12" w:space="0" w:color="auto"/>
              <w:bottom w:val="single" w:sz="12" w:space="0" w:color="auto"/>
            </w:tcBorders>
            <w:shd w:val="clear" w:color="auto" w:fill="auto"/>
          </w:tcPr>
          <w:p w:rsidR="00BF2ECC" w:rsidRDefault="00BF2ECC">
            <w:pPr>
              <w:jc w:val="center"/>
              <w:rPr>
                <w:rFonts w:cs="Segoe UI"/>
                <w:noProof/>
                <w:lang w:eastAsia="en-GB"/>
              </w:rPr>
            </w:pPr>
            <w:r>
              <w:rPr>
                <w:rFonts w:cs="Segoe UI"/>
                <w:lang w:eastAsia="en-GB"/>
              </w:rPr>
              <w:sym w:font="Wingdings 2" w:char="F050"/>
            </w:r>
          </w:p>
        </w:tc>
        <w:tc>
          <w:tcPr>
            <w:tcW w:w="1134" w:type="dxa"/>
            <w:tcBorders>
              <w:top w:val="single" w:sz="4" w:space="0" w:color="auto"/>
              <w:bottom w:val="single" w:sz="12" w:space="0" w:color="auto"/>
              <w:right w:val="single" w:sz="12" w:space="0" w:color="auto"/>
            </w:tcBorders>
            <w:shd w:val="clear" w:color="auto" w:fill="auto"/>
          </w:tcPr>
          <w:p w:rsidR="00BF2ECC" w:rsidRDefault="00BF2ECC">
            <w:pPr>
              <w:jc w:val="center"/>
              <w:rPr>
                <w:rFonts w:cs="Segoe UI"/>
                <w:lang w:eastAsia="en-GB"/>
              </w:rPr>
            </w:pPr>
          </w:p>
        </w:tc>
        <w:tc>
          <w:tcPr>
            <w:tcW w:w="1134" w:type="dxa"/>
            <w:tcBorders>
              <w:top w:val="single" w:sz="4" w:space="0" w:color="auto"/>
              <w:left w:val="single" w:sz="12" w:space="0" w:color="auto"/>
              <w:bottom w:val="single" w:sz="12" w:space="0" w:color="auto"/>
            </w:tcBorders>
            <w:shd w:val="clear" w:color="auto" w:fill="auto"/>
          </w:tcPr>
          <w:p w:rsidR="00BF2ECC" w:rsidRDefault="00BF2ECC">
            <w:pPr>
              <w:jc w:val="center"/>
              <w:rPr>
                <w:rFonts w:cs="Segoe UI"/>
                <w:noProof/>
                <w:lang w:eastAsia="en-GB"/>
              </w:rPr>
            </w:pPr>
            <w:r>
              <w:rPr>
                <w:rFonts w:cs="Segoe UI"/>
                <w:lang w:eastAsia="en-GB"/>
              </w:rPr>
              <w:sym w:font="Wingdings 2" w:char="F050"/>
            </w:r>
          </w:p>
        </w:tc>
        <w:tc>
          <w:tcPr>
            <w:tcW w:w="1276" w:type="dxa"/>
            <w:tcBorders>
              <w:top w:val="single" w:sz="4" w:space="0" w:color="auto"/>
              <w:bottom w:val="single" w:sz="12" w:space="0" w:color="auto"/>
            </w:tcBorders>
            <w:shd w:val="clear" w:color="auto" w:fill="auto"/>
          </w:tcPr>
          <w:p w:rsidR="00BF2ECC" w:rsidRDefault="00BF2ECC">
            <w:pPr>
              <w:jc w:val="center"/>
              <w:rPr>
                <w:rFonts w:cs="Segoe UI"/>
                <w:lang w:eastAsia="en-GB"/>
              </w:rPr>
            </w:pPr>
          </w:p>
        </w:tc>
        <w:tc>
          <w:tcPr>
            <w:tcW w:w="1101" w:type="dxa"/>
            <w:tcBorders>
              <w:top w:val="single" w:sz="4" w:space="0" w:color="auto"/>
              <w:bottom w:val="single" w:sz="12" w:space="0" w:color="auto"/>
              <w:right w:val="single" w:sz="12" w:space="0" w:color="auto"/>
            </w:tcBorders>
            <w:shd w:val="clear" w:color="auto" w:fill="auto"/>
          </w:tcPr>
          <w:p w:rsidR="00BF2ECC" w:rsidRDefault="00BF2ECC">
            <w:pPr>
              <w:jc w:val="center"/>
              <w:rPr>
                <w:rFonts w:cs="Segoe UI"/>
                <w:lang w:eastAsia="en-GB"/>
              </w:rPr>
            </w:pPr>
          </w:p>
        </w:tc>
      </w:tr>
      <w:tr w:rsidR="00C639E1" w:rsidTr="00CE1D6C">
        <w:trPr>
          <w:cantSplit/>
          <w:trHeight w:val="283"/>
        </w:trPr>
        <w:tc>
          <w:tcPr>
            <w:tcW w:w="1843" w:type="dxa"/>
            <w:vMerge w:val="restart"/>
            <w:tcBorders>
              <w:top w:val="single" w:sz="12" w:space="0" w:color="auto"/>
              <w:left w:val="nil"/>
              <w:right w:val="single" w:sz="12" w:space="0" w:color="auto"/>
            </w:tcBorders>
          </w:tcPr>
          <w:p w:rsidR="00C639E1" w:rsidRDefault="00C639E1" w:rsidP="00C639E1">
            <w:pPr>
              <w:pStyle w:val="TableText"/>
              <w:spacing w:before="0" w:after="0"/>
              <w:rPr>
                <w:rFonts w:cs="Segoe UI"/>
                <w:sz w:val="20"/>
                <w:lang w:eastAsia="en-GB"/>
              </w:rPr>
            </w:pPr>
            <w:r>
              <w:rPr>
                <w:rFonts w:cs="Segoe UI"/>
                <w:sz w:val="20"/>
                <w:lang w:eastAsia="en-GB"/>
              </w:rPr>
              <w:t>Part II : Linkages between financial statements and regulatory exposures</w:t>
            </w:r>
          </w:p>
        </w:tc>
        <w:tc>
          <w:tcPr>
            <w:tcW w:w="4111" w:type="dxa"/>
            <w:tcBorders>
              <w:top w:val="single" w:sz="12" w:space="0" w:color="auto"/>
              <w:left w:val="single" w:sz="12" w:space="0" w:color="auto"/>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Template LI1: Differences between accounting and regulatory scopes of consolidation and mapping of financial statement categories with regulatory risk categories</w:t>
            </w:r>
          </w:p>
        </w:tc>
        <w:tc>
          <w:tcPr>
            <w:tcW w:w="992" w:type="dxa"/>
            <w:tcBorders>
              <w:top w:val="single" w:sz="12" w:space="0" w:color="auto"/>
              <w:left w:val="single" w:sz="12" w:space="0" w:color="auto"/>
              <w:right w:val="single" w:sz="12" w:space="0" w:color="auto"/>
            </w:tcBorders>
          </w:tcPr>
          <w:p w:rsidR="00C639E1" w:rsidRDefault="00C639E1" w:rsidP="00C639E1">
            <w:pPr>
              <w:jc w:val="center"/>
            </w:pPr>
            <w:r w:rsidRPr="000A2BFB">
              <w:rPr>
                <w:rFonts w:cs="Segoe UI"/>
                <w:lang w:eastAsia="en-GB"/>
              </w:rPr>
              <w:t>I</w:t>
            </w:r>
          </w:p>
        </w:tc>
        <w:tc>
          <w:tcPr>
            <w:tcW w:w="1624" w:type="dxa"/>
            <w:tcBorders>
              <w:top w:val="single" w:sz="12" w:space="0" w:color="auto"/>
              <w:left w:val="single" w:sz="12" w:space="0" w:color="auto"/>
              <w:right w:val="single" w:sz="12" w:space="0" w:color="auto"/>
            </w:tcBorders>
            <w:shd w:val="clear" w:color="auto" w:fill="auto"/>
          </w:tcPr>
          <w:p w:rsidR="00C639E1" w:rsidRDefault="00CB2A34" w:rsidP="00C639E1">
            <w:pPr>
              <w:pStyle w:val="TableText"/>
              <w:spacing w:before="0" w:after="0"/>
              <w:jc w:val="center"/>
              <w:rPr>
                <w:rFonts w:cs="Segoe UI"/>
                <w:sz w:val="20"/>
                <w:lang w:eastAsia="en-GB"/>
              </w:rPr>
            </w:pPr>
            <w:r w:rsidRPr="009A68E3">
              <w:rPr>
                <w:rFonts w:cs="Segoe UI"/>
                <w:noProof/>
                <w:sz w:val="20"/>
                <w:lang w:eastAsia="en-GB"/>
              </w:rPr>
              <w:t>L</w:t>
            </w:r>
          </w:p>
        </w:tc>
        <w:tc>
          <w:tcPr>
            <w:tcW w:w="124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tcBorders>
              <w:top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Template LI2: Main sources of differences between regulatory exposure amounts and carrying values in financial statements</w:t>
            </w:r>
          </w:p>
        </w:tc>
        <w:tc>
          <w:tcPr>
            <w:tcW w:w="992" w:type="dxa"/>
            <w:tcBorders>
              <w:left w:val="single" w:sz="12" w:space="0" w:color="auto"/>
              <w:right w:val="single" w:sz="12" w:space="0" w:color="auto"/>
            </w:tcBorders>
          </w:tcPr>
          <w:p w:rsidR="00C639E1" w:rsidRDefault="00C639E1" w:rsidP="00C639E1">
            <w:pPr>
              <w:jc w:val="center"/>
            </w:pPr>
            <w:r w:rsidRPr="000A2BFB">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CB2A34"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Table LIA: Explanations of differences between accounting and regulatory exposure amounts</w:t>
            </w:r>
          </w:p>
        </w:tc>
        <w:tc>
          <w:tcPr>
            <w:tcW w:w="992" w:type="dxa"/>
            <w:tcBorders>
              <w:left w:val="single" w:sz="12" w:space="0" w:color="auto"/>
              <w:right w:val="single" w:sz="12" w:space="0" w:color="auto"/>
            </w:tcBorders>
          </w:tcPr>
          <w:p w:rsidR="00C639E1" w:rsidRDefault="00C639E1" w:rsidP="00C639E1">
            <w:pPr>
              <w:jc w:val="center"/>
            </w:pPr>
            <w:r w:rsidRPr="000A2BFB">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CB2A34"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7136E5" w:rsidTr="00CE1D6C">
        <w:trPr>
          <w:cantSplit/>
          <w:trHeight w:val="283"/>
        </w:trPr>
        <w:tc>
          <w:tcPr>
            <w:tcW w:w="1843" w:type="dxa"/>
            <w:vMerge/>
            <w:tcBorders>
              <w:left w:val="nil"/>
              <w:bottom w:val="single" w:sz="12" w:space="0" w:color="auto"/>
              <w:right w:val="single" w:sz="12" w:space="0" w:color="auto"/>
            </w:tcBorders>
          </w:tcPr>
          <w:p w:rsidR="00BF2ECC" w:rsidRDefault="00BF2ECC" w:rsidP="00BF2ECC">
            <w:pPr>
              <w:pStyle w:val="TableText"/>
              <w:spacing w:before="0" w:after="0"/>
              <w:rPr>
                <w:rFonts w:cs="Segoe UI"/>
                <w:sz w:val="20"/>
                <w:lang w:eastAsia="en-GB"/>
              </w:rPr>
            </w:pPr>
          </w:p>
        </w:tc>
        <w:tc>
          <w:tcPr>
            <w:tcW w:w="4111" w:type="dxa"/>
            <w:tcBorders>
              <w:left w:val="single" w:sz="12" w:space="0" w:color="auto"/>
              <w:bottom w:val="single" w:sz="12" w:space="0" w:color="auto"/>
              <w:right w:val="single" w:sz="12" w:space="0" w:color="auto"/>
            </w:tcBorders>
            <w:shd w:val="clear" w:color="auto" w:fill="auto"/>
          </w:tcPr>
          <w:p w:rsidR="00BF2ECC" w:rsidRPr="00A2049C" w:rsidRDefault="00BF2ECC" w:rsidP="00BF2ECC">
            <w:pPr>
              <w:pStyle w:val="TableText"/>
              <w:spacing w:before="0" w:after="0"/>
              <w:rPr>
                <w:rFonts w:cs="Segoe UI"/>
                <w:sz w:val="20"/>
                <w:lang w:val="en-US" w:eastAsia="en-GB"/>
              </w:rPr>
            </w:pPr>
            <w:r w:rsidRPr="00F914B1">
              <w:rPr>
                <w:rFonts w:cs="Segoe UI"/>
                <w:sz w:val="20"/>
                <w:lang w:eastAsia="en-GB"/>
              </w:rPr>
              <w:t>Template</w:t>
            </w:r>
            <w:r>
              <w:rPr>
                <w:rFonts w:cs="Segoe UI"/>
                <w:sz w:val="20"/>
                <w:lang w:eastAsia="en-GB"/>
              </w:rPr>
              <w:t xml:space="preserve"> </w:t>
            </w:r>
            <w:r w:rsidRPr="00A2049C">
              <w:rPr>
                <w:rFonts w:cs="Segoe UI"/>
                <w:sz w:val="20"/>
                <w:lang w:eastAsia="en-GB"/>
              </w:rPr>
              <w:t>PV1</w:t>
            </w:r>
            <w:r>
              <w:rPr>
                <w:rFonts w:cs="Segoe UI"/>
                <w:sz w:val="20"/>
                <w:lang w:eastAsia="en-GB"/>
              </w:rPr>
              <w:t>:</w:t>
            </w:r>
            <w:r w:rsidRPr="00A2049C">
              <w:rPr>
                <w:rFonts w:cs="Segoe UI"/>
                <w:sz w:val="20"/>
                <w:lang w:eastAsia="en-GB"/>
              </w:rPr>
              <w:t xml:space="preserve"> Pru</w:t>
            </w:r>
            <w:r>
              <w:rPr>
                <w:rFonts w:cs="Segoe UI"/>
                <w:sz w:val="20"/>
                <w:lang w:eastAsia="en-GB"/>
              </w:rPr>
              <w:t>dent valuation adjustments</w:t>
            </w:r>
          </w:p>
        </w:tc>
        <w:tc>
          <w:tcPr>
            <w:tcW w:w="992" w:type="dxa"/>
            <w:tcBorders>
              <w:left w:val="single" w:sz="12" w:space="0" w:color="auto"/>
              <w:bottom w:val="single" w:sz="12" w:space="0" w:color="auto"/>
              <w:right w:val="single" w:sz="12" w:space="0" w:color="auto"/>
            </w:tcBorders>
          </w:tcPr>
          <w:p w:rsidR="00BF2ECC" w:rsidRDefault="00BF2ECC" w:rsidP="00C639E1">
            <w:pPr>
              <w:pStyle w:val="TableText"/>
              <w:spacing w:before="0" w:after="0"/>
              <w:jc w:val="center"/>
              <w:rPr>
                <w:rFonts w:cs="Segoe UI"/>
                <w:sz w:val="20"/>
                <w:lang w:eastAsia="en-GB"/>
              </w:rPr>
            </w:pPr>
            <w:r>
              <w:rPr>
                <w:rFonts w:cs="Segoe UI"/>
                <w:sz w:val="20"/>
                <w:lang w:eastAsia="en-GB"/>
              </w:rPr>
              <w:t>II</w:t>
            </w:r>
          </w:p>
        </w:tc>
        <w:tc>
          <w:tcPr>
            <w:tcW w:w="1624" w:type="dxa"/>
            <w:tcBorders>
              <w:left w:val="single" w:sz="12" w:space="0" w:color="auto"/>
              <w:bottom w:val="single" w:sz="12" w:space="0" w:color="auto"/>
              <w:right w:val="single" w:sz="12" w:space="0" w:color="auto"/>
            </w:tcBorders>
            <w:shd w:val="clear" w:color="auto" w:fill="auto"/>
          </w:tcPr>
          <w:p w:rsidR="00BF2ECC" w:rsidRPr="00F914B1" w:rsidRDefault="00BF2ECC" w:rsidP="00BF2ECC">
            <w:pPr>
              <w:pStyle w:val="TableText"/>
              <w:spacing w:before="0" w:after="0"/>
              <w:jc w:val="center"/>
              <w:rPr>
                <w:rFonts w:cs="Segoe UI"/>
                <w:sz w:val="20"/>
                <w:lang w:eastAsia="en-GB"/>
              </w:rPr>
            </w:pPr>
            <w:r>
              <w:rPr>
                <w:rFonts w:cs="Segoe UI"/>
                <w:sz w:val="20"/>
                <w:lang w:eastAsia="en-GB"/>
              </w:rPr>
              <w:t>L</w:t>
            </w:r>
          </w:p>
        </w:tc>
        <w:tc>
          <w:tcPr>
            <w:tcW w:w="1244" w:type="dxa"/>
            <w:tcBorders>
              <w:left w:val="single" w:sz="12" w:space="0" w:color="auto"/>
              <w:bottom w:val="single" w:sz="12" w:space="0" w:color="auto"/>
            </w:tcBorders>
            <w:shd w:val="clear" w:color="auto" w:fill="auto"/>
          </w:tcPr>
          <w:p w:rsidR="00BF2ECC" w:rsidRPr="00F914B1" w:rsidRDefault="00BF2ECC" w:rsidP="00BF2ECC">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34" w:type="dxa"/>
            <w:tcBorders>
              <w:bottom w:val="single" w:sz="12" w:space="0" w:color="auto"/>
              <w:right w:val="single" w:sz="12" w:space="0" w:color="auto"/>
            </w:tcBorders>
            <w:shd w:val="clear" w:color="auto" w:fill="auto"/>
          </w:tcPr>
          <w:p w:rsidR="00BF2ECC" w:rsidRPr="00F914B1" w:rsidRDefault="00BF2ECC" w:rsidP="00BF2ECC">
            <w:pPr>
              <w:pStyle w:val="TableText"/>
              <w:spacing w:before="0" w:after="0"/>
              <w:jc w:val="center"/>
              <w:rPr>
                <w:rFonts w:cs="Segoe UI"/>
                <w:noProof/>
                <w:sz w:val="20"/>
                <w:lang w:eastAsia="en-GB"/>
              </w:rPr>
            </w:pPr>
          </w:p>
        </w:tc>
        <w:tc>
          <w:tcPr>
            <w:tcW w:w="1134" w:type="dxa"/>
            <w:tcBorders>
              <w:left w:val="single" w:sz="12" w:space="0" w:color="auto"/>
              <w:bottom w:val="single" w:sz="12" w:space="0" w:color="auto"/>
            </w:tcBorders>
            <w:shd w:val="clear" w:color="auto" w:fill="auto"/>
          </w:tcPr>
          <w:p w:rsidR="00BF2ECC" w:rsidRPr="00F914B1" w:rsidRDefault="00BF2ECC" w:rsidP="00BF2ECC">
            <w:pPr>
              <w:pStyle w:val="TableText"/>
              <w:spacing w:before="0" w:after="0"/>
              <w:jc w:val="center"/>
              <w:rPr>
                <w:rFonts w:cs="Segoe UI"/>
                <w:sz w:val="20"/>
                <w:lang w:eastAsia="en-GB"/>
              </w:rPr>
            </w:pPr>
          </w:p>
        </w:tc>
        <w:tc>
          <w:tcPr>
            <w:tcW w:w="1276" w:type="dxa"/>
            <w:tcBorders>
              <w:bottom w:val="single" w:sz="12" w:space="0" w:color="auto"/>
            </w:tcBorders>
            <w:shd w:val="clear" w:color="auto" w:fill="auto"/>
          </w:tcPr>
          <w:p w:rsidR="00BF2ECC" w:rsidRPr="00F914B1" w:rsidRDefault="00BF2ECC" w:rsidP="00BF2ECC">
            <w:pPr>
              <w:pStyle w:val="TableText"/>
              <w:spacing w:before="0" w:after="0"/>
              <w:jc w:val="center"/>
              <w:rPr>
                <w:rFonts w:cs="Segoe UI"/>
                <w:sz w:val="20"/>
                <w:lang w:eastAsia="en-GB"/>
              </w:rPr>
            </w:pPr>
          </w:p>
        </w:tc>
        <w:tc>
          <w:tcPr>
            <w:tcW w:w="1101" w:type="dxa"/>
            <w:tcBorders>
              <w:bottom w:val="single" w:sz="12" w:space="0" w:color="auto"/>
              <w:right w:val="single" w:sz="12" w:space="0" w:color="auto"/>
            </w:tcBorders>
            <w:shd w:val="clear" w:color="auto" w:fill="auto"/>
          </w:tcPr>
          <w:p w:rsidR="00BF2ECC" w:rsidRPr="00F914B1" w:rsidRDefault="00BF2ECC" w:rsidP="00BF2ECC">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CE1D6C" w:rsidTr="009A68E3">
        <w:trPr>
          <w:cantSplit/>
          <w:trHeight w:val="283"/>
        </w:trPr>
        <w:tc>
          <w:tcPr>
            <w:tcW w:w="1843" w:type="dxa"/>
            <w:vMerge w:val="restart"/>
            <w:tcBorders>
              <w:top w:val="single" w:sz="12" w:space="0" w:color="auto"/>
              <w:left w:val="nil"/>
              <w:right w:val="single" w:sz="12" w:space="0" w:color="auto"/>
            </w:tcBorders>
          </w:tcPr>
          <w:p w:rsidR="00CE1D6C" w:rsidRPr="007B3828" w:rsidRDefault="00CE1D6C" w:rsidP="007136E5">
            <w:pPr>
              <w:pStyle w:val="TableText"/>
              <w:spacing w:before="0" w:after="0"/>
              <w:rPr>
                <w:rFonts w:cs="Segoe UI"/>
                <w:sz w:val="20"/>
                <w:lang w:eastAsia="en-GB"/>
              </w:rPr>
            </w:pPr>
            <w:r w:rsidRPr="007B3828">
              <w:rPr>
                <w:rFonts w:cs="Segoe UI"/>
                <w:sz w:val="20"/>
                <w:lang w:eastAsia="en-GB"/>
              </w:rPr>
              <w:t xml:space="preserve">Part IIA : Composition of </w:t>
            </w:r>
            <w:r>
              <w:rPr>
                <w:rFonts w:cs="Segoe UI"/>
                <w:sz w:val="20"/>
                <w:lang w:eastAsia="en-GB"/>
              </w:rPr>
              <w:t xml:space="preserve">regulatory </w:t>
            </w:r>
            <w:r w:rsidRPr="007B3828">
              <w:rPr>
                <w:rFonts w:cs="Segoe UI"/>
                <w:sz w:val="20"/>
                <w:lang w:eastAsia="en-GB"/>
              </w:rPr>
              <w:t>capital</w:t>
            </w:r>
          </w:p>
        </w:tc>
        <w:tc>
          <w:tcPr>
            <w:tcW w:w="4111" w:type="dxa"/>
            <w:tcBorders>
              <w:top w:val="single" w:sz="12" w:space="0" w:color="auto"/>
              <w:left w:val="single" w:sz="12" w:space="0" w:color="auto"/>
              <w:bottom w:val="single" w:sz="4" w:space="0" w:color="auto"/>
              <w:right w:val="single" w:sz="12" w:space="0" w:color="auto"/>
            </w:tcBorders>
            <w:shd w:val="clear" w:color="auto" w:fill="auto"/>
          </w:tcPr>
          <w:p w:rsidR="00CE1D6C" w:rsidRPr="00026A25" w:rsidRDefault="00CE1D6C" w:rsidP="007136E5">
            <w:pPr>
              <w:pStyle w:val="TableText"/>
              <w:spacing w:before="0" w:after="0"/>
              <w:rPr>
                <w:rFonts w:cs="Segoe UI"/>
                <w:sz w:val="20"/>
                <w:lang w:val="en-US" w:eastAsia="en-GB"/>
              </w:rPr>
            </w:pPr>
            <w:r>
              <w:rPr>
                <w:rFonts w:cs="Segoe UI"/>
                <w:sz w:val="20"/>
                <w:lang w:val="en-US" w:eastAsia="en-GB"/>
              </w:rPr>
              <w:t xml:space="preserve">Template </w:t>
            </w:r>
            <w:r w:rsidRPr="00026A25">
              <w:rPr>
                <w:rFonts w:cs="Segoe UI"/>
                <w:sz w:val="20"/>
                <w:lang w:val="en-US" w:eastAsia="en-GB"/>
              </w:rPr>
              <w:t>CC1</w:t>
            </w:r>
            <w:r>
              <w:rPr>
                <w:rFonts w:cs="Segoe UI"/>
                <w:sz w:val="20"/>
                <w:lang w:val="en-US" w:eastAsia="en-GB"/>
              </w:rPr>
              <w:t>:</w:t>
            </w:r>
            <w:r w:rsidRPr="00026A25">
              <w:rPr>
                <w:rFonts w:cs="Segoe UI"/>
                <w:sz w:val="20"/>
                <w:lang w:val="en-US" w:eastAsia="en-GB"/>
              </w:rPr>
              <w:t xml:space="preserve"> Composition of regulatory capital</w:t>
            </w:r>
          </w:p>
        </w:tc>
        <w:tc>
          <w:tcPr>
            <w:tcW w:w="992" w:type="dxa"/>
            <w:tcBorders>
              <w:top w:val="single" w:sz="12" w:space="0" w:color="auto"/>
              <w:left w:val="single" w:sz="12" w:space="0" w:color="auto"/>
              <w:bottom w:val="single" w:sz="4" w:space="0" w:color="auto"/>
              <w:right w:val="single" w:sz="12" w:space="0" w:color="auto"/>
            </w:tcBorders>
          </w:tcPr>
          <w:p w:rsidR="00CE1D6C" w:rsidRDefault="00CE1D6C" w:rsidP="00C639E1">
            <w:pPr>
              <w:pStyle w:val="TableText"/>
              <w:spacing w:before="0" w:after="0"/>
              <w:jc w:val="center"/>
              <w:rPr>
                <w:rFonts w:cs="Segoe UI"/>
                <w:sz w:val="20"/>
                <w:lang w:eastAsia="en-GB"/>
              </w:rPr>
            </w:pPr>
            <w:r>
              <w:rPr>
                <w:rFonts w:cs="Segoe UI"/>
                <w:sz w:val="20"/>
                <w:lang w:eastAsia="en-GB"/>
              </w:rPr>
              <w:t>II</w:t>
            </w:r>
          </w:p>
        </w:tc>
        <w:tc>
          <w:tcPr>
            <w:tcW w:w="1624" w:type="dxa"/>
            <w:tcBorders>
              <w:top w:val="single" w:sz="12" w:space="0" w:color="auto"/>
              <w:left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top w:val="single" w:sz="12"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34" w:type="dxa"/>
            <w:tcBorders>
              <w:top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p>
        </w:tc>
        <w:tc>
          <w:tcPr>
            <w:tcW w:w="1134" w:type="dxa"/>
            <w:tcBorders>
              <w:top w:val="single" w:sz="12"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01" w:type="dxa"/>
            <w:tcBorders>
              <w:top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r>
      <w:tr w:rsidR="00CE1D6C" w:rsidTr="009A68E3">
        <w:trPr>
          <w:cantSplit/>
          <w:trHeight w:val="283"/>
        </w:trPr>
        <w:tc>
          <w:tcPr>
            <w:tcW w:w="1843" w:type="dxa"/>
            <w:vMerge/>
            <w:tcBorders>
              <w:left w:val="nil"/>
              <w:right w:val="single" w:sz="12" w:space="0" w:color="auto"/>
            </w:tcBorders>
          </w:tcPr>
          <w:p w:rsidR="00CE1D6C" w:rsidRPr="007B3828" w:rsidRDefault="00CE1D6C" w:rsidP="007136E5">
            <w:pPr>
              <w:pStyle w:val="TableText"/>
              <w:spacing w:before="0" w:after="0"/>
              <w:rPr>
                <w:rFonts w:cs="Segoe UI"/>
                <w:sz w:val="20"/>
                <w:lang w:eastAsia="en-GB"/>
              </w:rPr>
            </w:pPr>
          </w:p>
        </w:tc>
        <w:tc>
          <w:tcPr>
            <w:tcW w:w="4111" w:type="dxa"/>
            <w:tcBorders>
              <w:top w:val="single" w:sz="4" w:space="0" w:color="auto"/>
              <w:left w:val="single" w:sz="12" w:space="0" w:color="auto"/>
              <w:bottom w:val="single" w:sz="4" w:space="0" w:color="auto"/>
              <w:right w:val="single" w:sz="12" w:space="0" w:color="auto"/>
            </w:tcBorders>
            <w:shd w:val="clear" w:color="auto" w:fill="auto"/>
          </w:tcPr>
          <w:p w:rsidR="00CE1D6C" w:rsidRPr="00026A25" w:rsidRDefault="00CE1D6C" w:rsidP="007136E5">
            <w:pPr>
              <w:pStyle w:val="TableText"/>
              <w:spacing w:before="0" w:after="0"/>
              <w:rPr>
                <w:rFonts w:cs="Segoe UI"/>
                <w:sz w:val="20"/>
                <w:lang w:val="en-US" w:eastAsia="en-GB"/>
              </w:rPr>
            </w:pPr>
            <w:r>
              <w:rPr>
                <w:rFonts w:cs="Segoe UI"/>
                <w:sz w:val="20"/>
                <w:lang w:eastAsia="en-GB"/>
              </w:rPr>
              <w:t xml:space="preserve">Template CC2: </w:t>
            </w:r>
            <w:r w:rsidRPr="00026A25">
              <w:rPr>
                <w:rFonts w:cs="Segoe UI"/>
                <w:sz w:val="20"/>
                <w:lang w:eastAsia="en-GB"/>
              </w:rPr>
              <w:t>Reconciliation of regulatory capital to balance sheet</w:t>
            </w:r>
          </w:p>
        </w:tc>
        <w:tc>
          <w:tcPr>
            <w:tcW w:w="992" w:type="dxa"/>
            <w:tcBorders>
              <w:top w:val="single" w:sz="4" w:space="0" w:color="auto"/>
              <w:left w:val="single" w:sz="12" w:space="0" w:color="auto"/>
              <w:bottom w:val="single" w:sz="4" w:space="0" w:color="auto"/>
              <w:right w:val="single" w:sz="12" w:space="0" w:color="auto"/>
            </w:tcBorders>
          </w:tcPr>
          <w:p w:rsidR="00CE1D6C" w:rsidRDefault="00CE1D6C" w:rsidP="00C639E1">
            <w:pPr>
              <w:jc w:val="center"/>
            </w:pPr>
            <w:r w:rsidRPr="00A90974">
              <w:rPr>
                <w:rFonts w:cs="Segoe UI"/>
                <w:lang w:eastAsia="en-GB"/>
              </w:rPr>
              <w:t>II</w:t>
            </w:r>
          </w:p>
        </w:tc>
        <w:tc>
          <w:tcPr>
            <w:tcW w:w="1624" w:type="dxa"/>
            <w:tcBorders>
              <w:top w:val="single" w:sz="4" w:space="0" w:color="auto"/>
              <w:left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top w:val="single" w:sz="4"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4"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34" w:type="dxa"/>
            <w:tcBorders>
              <w:top w:val="single" w:sz="4"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4"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01" w:type="dxa"/>
            <w:tcBorders>
              <w:top w:val="single" w:sz="4"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r>
      <w:tr w:rsidR="00CE1D6C" w:rsidTr="002C3E66">
        <w:trPr>
          <w:cantSplit/>
          <w:trHeight w:val="283"/>
        </w:trPr>
        <w:tc>
          <w:tcPr>
            <w:tcW w:w="1843" w:type="dxa"/>
            <w:vMerge/>
            <w:tcBorders>
              <w:left w:val="nil"/>
              <w:right w:val="single" w:sz="12" w:space="0" w:color="auto"/>
            </w:tcBorders>
          </w:tcPr>
          <w:p w:rsidR="00CE1D6C" w:rsidRPr="007B3828" w:rsidRDefault="00CE1D6C" w:rsidP="007136E5">
            <w:pPr>
              <w:pStyle w:val="TableText"/>
              <w:spacing w:before="0" w:after="0"/>
              <w:rPr>
                <w:rFonts w:cs="Segoe UI"/>
                <w:sz w:val="20"/>
                <w:lang w:eastAsia="en-GB"/>
              </w:rPr>
            </w:pPr>
          </w:p>
        </w:tc>
        <w:tc>
          <w:tcPr>
            <w:tcW w:w="4111" w:type="dxa"/>
            <w:tcBorders>
              <w:top w:val="single" w:sz="4" w:space="0" w:color="auto"/>
              <w:left w:val="single" w:sz="12" w:space="0" w:color="auto"/>
              <w:bottom w:val="single" w:sz="12" w:space="0" w:color="auto"/>
              <w:right w:val="single" w:sz="12" w:space="0" w:color="auto"/>
            </w:tcBorders>
            <w:shd w:val="clear" w:color="auto" w:fill="auto"/>
          </w:tcPr>
          <w:p w:rsidR="00CE1D6C" w:rsidRPr="00026A25" w:rsidRDefault="00CE1D6C" w:rsidP="007136E5">
            <w:pPr>
              <w:pStyle w:val="TableText"/>
              <w:spacing w:before="0" w:after="0"/>
              <w:rPr>
                <w:rFonts w:cs="Segoe UI"/>
                <w:sz w:val="20"/>
                <w:lang w:val="en-US" w:eastAsia="en-GB"/>
              </w:rPr>
            </w:pPr>
            <w:r>
              <w:rPr>
                <w:rFonts w:cs="Segoe UI"/>
                <w:sz w:val="20"/>
                <w:lang w:eastAsia="en-GB"/>
              </w:rPr>
              <w:t xml:space="preserve">Table </w:t>
            </w:r>
            <w:r w:rsidRPr="00026A25">
              <w:rPr>
                <w:rFonts w:cs="Segoe UI"/>
                <w:sz w:val="20"/>
                <w:lang w:eastAsia="en-GB"/>
              </w:rPr>
              <w:t>CCA</w:t>
            </w:r>
            <w:r>
              <w:rPr>
                <w:rFonts w:cs="Segoe UI"/>
                <w:sz w:val="20"/>
                <w:lang w:eastAsia="en-GB"/>
              </w:rPr>
              <w:t>:</w:t>
            </w:r>
            <w:r w:rsidRPr="00026A25">
              <w:rPr>
                <w:rFonts w:cs="Segoe UI"/>
                <w:sz w:val="20"/>
                <w:lang w:eastAsia="en-GB"/>
              </w:rPr>
              <w:t xml:space="preserve"> Main features of regulatory capital instruments </w:t>
            </w:r>
          </w:p>
        </w:tc>
        <w:tc>
          <w:tcPr>
            <w:tcW w:w="992" w:type="dxa"/>
            <w:tcBorders>
              <w:top w:val="single" w:sz="4" w:space="0" w:color="auto"/>
              <w:left w:val="single" w:sz="12" w:space="0" w:color="auto"/>
              <w:bottom w:val="single" w:sz="12" w:space="0" w:color="auto"/>
              <w:right w:val="single" w:sz="12" w:space="0" w:color="auto"/>
            </w:tcBorders>
          </w:tcPr>
          <w:p w:rsidR="00CE1D6C" w:rsidRDefault="00CE1D6C" w:rsidP="00C639E1">
            <w:pPr>
              <w:jc w:val="center"/>
            </w:pPr>
            <w:r w:rsidRPr="00A90974">
              <w:rPr>
                <w:rFonts w:cs="Segoe UI"/>
                <w:lang w:eastAsia="en-GB"/>
              </w:rPr>
              <w:t>II</w:t>
            </w:r>
          </w:p>
        </w:tc>
        <w:tc>
          <w:tcPr>
            <w:tcW w:w="1624" w:type="dxa"/>
            <w:tcBorders>
              <w:top w:val="single" w:sz="4" w:space="0" w:color="auto"/>
              <w:left w:val="single" w:sz="12"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top w:val="single" w:sz="4" w:space="0" w:color="auto"/>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4"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34" w:type="dxa"/>
            <w:tcBorders>
              <w:top w:val="single" w:sz="4" w:space="0" w:color="auto"/>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4"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01" w:type="dxa"/>
            <w:tcBorders>
              <w:top w:val="single" w:sz="4"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r>
      <w:tr w:rsidR="00CE1D6C" w:rsidTr="002C3E66">
        <w:trPr>
          <w:cantSplit/>
          <w:trHeight w:val="283"/>
        </w:trPr>
        <w:tc>
          <w:tcPr>
            <w:tcW w:w="1843" w:type="dxa"/>
            <w:vMerge w:val="restart"/>
            <w:tcBorders>
              <w:top w:val="single" w:sz="12" w:space="0" w:color="auto"/>
              <w:left w:val="nil"/>
              <w:right w:val="single" w:sz="12" w:space="0" w:color="auto"/>
            </w:tcBorders>
          </w:tcPr>
          <w:p w:rsidR="00CE1D6C" w:rsidRPr="007B3828" w:rsidRDefault="00CE1D6C" w:rsidP="007136E5">
            <w:pPr>
              <w:pStyle w:val="TableText"/>
              <w:spacing w:before="0" w:after="0"/>
              <w:rPr>
                <w:rFonts w:cs="Segoe UI"/>
                <w:sz w:val="20"/>
                <w:lang w:eastAsia="en-GB"/>
              </w:rPr>
            </w:pPr>
            <w:r w:rsidRPr="007B3828">
              <w:rPr>
                <w:rFonts w:cs="Segoe UI"/>
                <w:sz w:val="20"/>
                <w:lang w:eastAsia="en-GB"/>
              </w:rPr>
              <w:t xml:space="preserve">Part IIB : </w:t>
            </w:r>
            <w:proofErr w:type="spellStart"/>
            <w:r w:rsidRPr="007B3828">
              <w:rPr>
                <w:rFonts w:cs="Segoe UI"/>
                <w:sz w:val="20"/>
                <w:lang w:eastAsia="en-GB"/>
              </w:rPr>
              <w:t>Macroprudential</w:t>
            </w:r>
            <w:proofErr w:type="spellEnd"/>
            <w:r w:rsidRPr="007B3828">
              <w:rPr>
                <w:rFonts w:cs="Segoe UI"/>
                <w:sz w:val="20"/>
                <w:lang w:eastAsia="en-GB"/>
              </w:rPr>
              <w:t xml:space="preserve"> supervisory measures</w:t>
            </w:r>
          </w:p>
        </w:tc>
        <w:tc>
          <w:tcPr>
            <w:tcW w:w="4111" w:type="dxa"/>
            <w:tcBorders>
              <w:top w:val="single" w:sz="12" w:space="0" w:color="auto"/>
              <w:left w:val="single" w:sz="12" w:space="0" w:color="auto"/>
              <w:bottom w:val="single" w:sz="8" w:space="0" w:color="000000"/>
              <w:right w:val="single" w:sz="12" w:space="0" w:color="auto"/>
            </w:tcBorders>
            <w:shd w:val="clear" w:color="auto" w:fill="auto"/>
          </w:tcPr>
          <w:p w:rsidR="00CE1D6C" w:rsidRPr="00746660" w:rsidRDefault="00CE1D6C" w:rsidP="007136E5">
            <w:pPr>
              <w:pStyle w:val="TableText"/>
              <w:spacing w:before="0" w:after="0"/>
              <w:rPr>
                <w:rFonts w:cs="Segoe UI"/>
                <w:noProof/>
                <w:sz w:val="20"/>
                <w:lang w:val="en-US" w:eastAsia="en-GB"/>
              </w:rPr>
            </w:pPr>
            <w:r w:rsidRPr="00F914B1">
              <w:rPr>
                <w:rFonts w:cs="Segoe UI"/>
                <w:sz w:val="20"/>
                <w:lang w:eastAsia="en-GB"/>
              </w:rPr>
              <w:t xml:space="preserve">Template </w:t>
            </w:r>
            <w:r w:rsidRPr="00746660">
              <w:rPr>
                <w:rFonts w:cs="Segoe UI"/>
                <w:sz w:val="20"/>
                <w:lang w:eastAsia="en-GB"/>
              </w:rPr>
              <w:t>GSIB1</w:t>
            </w:r>
            <w:r>
              <w:rPr>
                <w:rFonts w:cs="Segoe UI"/>
                <w:sz w:val="20"/>
                <w:lang w:eastAsia="en-GB"/>
              </w:rPr>
              <w:t>:</w:t>
            </w:r>
            <w:r w:rsidRPr="00746660">
              <w:rPr>
                <w:rFonts w:cs="Segoe UI"/>
                <w:sz w:val="20"/>
                <w:lang w:eastAsia="en-GB"/>
              </w:rPr>
              <w:t xml:space="preserve"> G-SIB indicators</w:t>
            </w:r>
          </w:p>
        </w:tc>
        <w:tc>
          <w:tcPr>
            <w:tcW w:w="992" w:type="dxa"/>
            <w:tcBorders>
              <w:top w:val="single" w:sz="12" w:space="0" w:color="auto"/>
              <w:left w:val="single" w:sz="12" w:space="0" w:color="auto"/>
              <w:bottom w:val="single" w:sz="8" w:space="0" w:color="000000"/>
              <w:right w:val="single" w:sz="12" w:space="0" w:color="auto"/>
            </w:tcBorders>
          </w:tcPr>
          <w:p w:rsidR="00CE1D6C" w:rsidRDefault="00CE1D6C" w:rsidP="00C639E1">
            <w:pPr>
              <w:jc w:val="center"/>
            </w:pPr>
            <w:r w:rsidRPr="00A90974">
              <w:rPr>
                <w:rFonts w:cs="Segoe UI"/>
                <w:lang w:eastAsia="en-GB"/>
              </w:rPr>
              <w:t>II</w:t>
            </w:r>
          </w:p>
        </w:tc>
        <w:tc>
          <w:tcPr>
            <w:tcW w:w="1624" w:type="dxa"/>
            <w:tcBorders>
              <w:top w:val="single" w:sz="12" w:space="0" w:color="auto"/>
              <w:left w:val="single" w:sz="12" w:space="0" w:color="auto"/>
              <w:bottom w:val="single" w:sz="8" w:space="0" w:color="000000"/>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 xml:space="preserve">L [G-SIBs, or AIs falling within BDR </w:t>
            </w:r>
            <w:r w:rsidRPr="001B530B">
              <w:rPr>
                <w:rFonts w:cs="Segoe UI"/>
                <w:sz w:val="20"/>
                <w:lang w:eastAsia="en-GB"/>
              </w:rPr>
              <w:t>§16FF(1)</w:t>
            </w:r>
            <w:r>
              <w:rPr>
                <w:rFonts w:cs="Segoe UI"/>
                <w:sz w:val="20"/>
                <w:lang w:eastAsia="en-GB"/>
              </w:rPr>
              <w:t>]</w:t>
            </w:r>
          </w:p>
        </w:tc>
        <w:tc>
          <w:tcPr>
            <w:tcW w:w="1244" w:type="dxa"/>
            <w:tcBorders>
              <w:top w:val="single" w:sz="12" w:space="0" w:color="auto"/>
              <w:left w:val="single" w:sz="12" w:space="0" w:color="auto"/>
              <w:bottom w:val="single" w:sz="8" w:space="0" w:color="000000"/>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12" w:space="0" w:color="auto"/>
              <w:bottom w:val="single" w:sz="8" w:space="0" w:color="000000"/>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34" w:type="dxa"/>
            <w:tcBorders>
              <w:top w:val="single" w:sz="12" w:space="0" w:color="auto"/>
              <w:left w:val="single" w:sz="12" w:space="0" w:color="auto"/>
              <w:bottom w:val="single" w:sz="8" w:space="0" w:color="000000"/>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12" w:space="0" w:color="auto"/>
              <w:bottom w:val="single" w:sz="8" w:space="0" w:color="000000"/>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top w:val="single" w:sz="12" w:space="0" w:color="auto"/>
              <w:bottom w:val="single" w:sz="8" w:space="0" w:color="000000"/>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CE1D6C" w:rsidTr="002C3E66">
        <w:trPr>
          <w:cantSplit/>
          <w:trHeight w:val="283"/>
        </w:trPr>
        <w:tc>
          <w:tcPr>
            <w:tcW w:w="1843" w:type="dxa"/>
            <w:vMerge/>
            <w:tcBorders>
              <w:left w:val="nil"/>
              <w:right w:val="single" w:sz="12" w:space="0" w:color="auto"/>
            </w:tcBorders>
          </w:tcPr>
          <w:p w:rsidR="00CE1D6C" w:rsidRPr="00F914B1" w:rsidRDefault="00CE1D6C" w:rsidP="007136E5">
            <w:pPr>
              <w:pStyle w:val="TableText"/>
              <w:spacing w:before="0" w:after="0"/>
              <w:rPr>
                <w:rFonts w:cs="Segoe UI"/>
                <w:sz w:val="20"/>
                <w:lang w:eastAsia="en-GB"/>
              </w:rPr>
            </w:pPr>
          </w:p>
        </w:tc>
        <w:tc>
          <w:tcPr>
            <w:tcW w:w="4111" w:type="dxa"/>
            <w:tcBorders>
              <w:top w:val="single" w:sz="8" w:space="0" w:color="000000"/>
              <w:left w:val="single" w:sz="12"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rPr>
                <w:rFonts w:cs="Segoe UI"/>
                <w:noProof/>
                <w:sz w:val="20"/>
                <w:lang w:eastAsia="en-GB"/>
              </w:rPr>
            </w:pPr>
            <w:r w:rsidRPr="00F914B1">
              <w:rPr>
                <w:rFonts w:cs="Segoe UI"/>
                <w:sz w:val="20"/>
                <w:lang w:eastAsia="en-GB"/>
              </w:rPr>
              <w:t xml:space="preserve">Template </w:t>
            </w:r>
            <w:r w:rsidRPr="00746660">
              <w:rPr>
                <w:rFonts w:cs="Segoe UI"/>
                <w:sz w:val="20"/>
                <w:lang w:eastAsia="en-GB"/>
              </w:rPr>
              <w:t>CCyB1</w:t>
            </w:r>
            <w:r>
              <w:rPr>
                <w:rFonts w:cs="Segoe UI"/>
                <w:sz w:val="20"/>
                <w:lang w:eastAsia="en-GB"/>
              </w:rPr>
              <w:t>:</w:t>
            </w:r>
            <w:r w:rsidRPr="00746660">
              <w:rPr>
                <w:rFonts w:cs="Segoe UI"/>
                <w:sz w:val="20"/>
                <w:lang w:eastAsia="en-GB"/>
              </w:rPr>
              <w:t xml:space="preserve"> Geographical distribution</w:t>
            </w:r>
            <w:r>
              <w:rPr>
                <w:rFonts w:cs="Segoe UI"/>
                <w:sz w:val="20"/>
                <w:lang w:eastAsia="en-GB"/>
              </w:rPr>
              <w:t xml:space="preserve"> of credit exposures used in</w:t>
            </w:r>
            <w:r w:rsidRPr="00746660">
              <w:rPr>
                <w:rFonts w:cs="Segoe UI"/>
                <w:sz w:val="20"/>
                <w:lang w:eastAsia="en-GB"/>
              </w:rPr>
              <w:t xml:space="preserve"> countercyclical</w:t>
            </w:r>
            <w:r>
              <w:rPr>
                <w:rFonts w:cs="Segoe UI"/>
                <w:sz w:val="20"/>
                <w:lang w:eastAsia="en-GB"/>
              </w:rPr>
              <w:t xml:space="preserve"> capital</w:t>
            </w:r>
            <w:r w:rsidRPr="00746660">
              <w:rPr>
                <w:rFonts w:cs="Segoe UI"/>
                <w:sz w:val="20"/>
                <w:lang w:eastAsia="en-GB"/>
              </w:rPr>
              <w:t xml:space="preserve"> buffer</w:t>
            </w:r>
          </w:p>
        </w:tc>
        <w:tc>
          <w:tcPr>
            <w:tcW w:w="992" w:type="dxa"/>
            <w:tcBorders>
              <w:top w:val="single" w:sz="8" w:space="0" w:color="000000"/>
              <w:left w:val="single" w:sz="12" w:space="0" w:color="auto"/>
              <w:bottom w:val="single" w:sz="12" w:space="0" w:color="auto"/>
              <w:right w:val="single" w:sz="12" w:space="0" w:color="auto"/>
            </w:tcBorders>
          </w:tcPr>
          <w:p w:rsidR="00CE1D6C" w:rsidRDefault="00CE1D6C" w:rsidP="00C639E1">
            <w:pPr>
              <w:jc w:val="center"/>
            </w:pPr>
            <w:r w:rsidRPr="00A90974">
              <w:rPr>
                <w:rFonts w:cs="Segoe UI"/>
                <w:lang w:eastAsia="en-GB"/>
              </w:rPr>
              <w:t>II</w:t>
            </w:r>
          </w:p>
        </w:tc>
        <w:tc>
          <w:tcPr>
            <w:tcW w:w="1624" w:type="dxa"/>
            <w:tcBorders>
              <w:top w:val="single" w:sz="8" w:space="0" w:color="000000"/>
              <w:left w:val="single" w:sz="12"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Pr>
                <w:rFonts w:cs="Segoe UI"/>
                <w:noProof/>
                <w:sz w:val="20"/>
                <w:lang w:eastAsia="en-GB"/>
              </w:rPr>
              <w:t>L</w:t>
            </w:r>
          </w:p>
        </w:tc>
        <w:tc>
          <w:tcPr>
            <w:tcW w:w="1244" w:type="dxa"/>
            <w:tcBorders>
              <w:top w:val="single" w:sz="8" w:space="0" w:color="000000"/>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p>
        </w:tc>
        <w:tc>
          <w:tcPr>
            <w:tcW w:w="1134" w:type="dxa"/>
            <w:tcBorders>
              <w:top w:val="single" w:sz="8" w:space="0" w:color="000000"/>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34" w:type="dxa"/>
            <w:tcBorders>
              <w:top w:val="single" w:sz="8" w:space="0" w:color="000000"/>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8" w:space="0" w:color="000000"/>
              <w:bottom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01" w:type="dxa"/>
            <w:tcBorders>
              <w:top w:val="single" w:sz="8" w:space="0" w:color="000000"/>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p>
        </w:tc>
      </w:tr>
      <w:tr w:rsidR="00CE1D6C" w:rsidTr="009A68E3">
        <w:trPr>
          <w:cantSplit/>
          <w:trHeight w:val="283"/>
        </w:trPr>
        <w:tc>
          <w:tcPr>
            <w:tcW w:w="1843" w:type="dxa"/>
            <w:vMerge w:val="restart"/>
            <w:tcBorders>
              <w:top w:val="single" w:sz="12" w:space="0" w:color="auto"/>
              <w:left w:val="nil"/>
              <w:right w:val="single" w:sz="12" w:space="0" w:color="auto"/>
            </w:tcBorders>
          </w:tcPr>
          <w:p w:rsidR="00CE1D6C" w:rsidRPr="007B3828" w:rsidRDefault="00CE1D6C" w:rsidP="007136E5">
            <w:pPr>
              <w:pStyle w:val="TableText"/>
              <w:spacing w:before="0" w:after="0"/>
              <w:rPr>
                <w:rFonts w:cs="Segoe UI"/>
                <w:sz w:val="20"/>
                <w:lang w:eastAsia="en-GB"/>
              </w:rPr>
            </w:pPr>
            <w:r w:rsidRPr="007B3828">
              <w:rPr>
                <w:rFonts w:cs="Segoe UI"/>
                <w:sz w:val="20"/>
                <w:lang w:eastAsia="en-GB"/>
              </w:rPr>
              <w:t>Part IIC : Leverage ratio</w:t>
            </w:r>
          </w:p>
        </w:tc>
        <w:tc>
          <w:tcPr>
            <w:tcW w:w="4111" w:type="dxa"/>
            <w:tcBorders>
              <w:top w:val="single" w:sz="12" w:space="0" w:color="auto"/>
              <w:left w:val="single" w:sz="12" w:space="0" w:color="auto"/>
              <w:bottom w:val="single" w:sz="4" w:space="0" w:color="auto"/>
              <w:right w:val="single" w:sz="12" w:space="0" w:color="auto"/>
            </w:tcBorders>
            <w:shd w:val="clear" w:color="auto" w:fill="8EAADB" w:themeFill="accent5" w:themeFillTint="99"/>
          </w:tcPr>
          <w:p w:rsidR="00CE1D6C" w:rsidRPr="00F914B1" w:rsidRDefault="00CE1D6C" w:rsidP="007136E5">
            <w:pPr>
              <w:pStyle w:val="TableText"/>
              <w:spacing w:before="0" w:after="0"/>
              <w:rPr>
                <w:rFonts w:cs="Segoe UI"/>
                <w:noProof/>
                <w:sz w:val="20"/>
                <w:lang w:eastAsia="en-GB"/>
              </w:rPr>
            </w:pPr>
            <w:r>
              <w:rPr>
                <w:rFonts w:cs="Segoe UI"/>
                <w:sz w:val="20"/>
                <w:lang w:eastAsia="en-GB"/>
              </w:rPr>
              <w:t xml:space="preserve">Template </w:t>
            </w:r>
            <w:r w:rsidRPr="00811FD5">
              <w:rPr>
                <w:rFonts w:cs="Segoe UI"/>
                <w:sz w:val="20"/>
                <w:lang w:eastAsia="en-GB"/>
              </w:rPr>
              <w:t>LR1</w:t>
            </w:r>
            <w:r>
              <w:rPr>
                <w:rFonts w:cs="Segoe UI"/>
                <w:sz w:val="20"/>
                <w:lang w:eastAsia="en-GB"/>
              </w:rPr>
              <w:t>:</w:t>
            </w:r>
            <w:r w:rsidRPr="00811FD5">
              <w:rPr>
                <w:rFonts w:cs="Segoe UI"/>
                <w:sz w:val="20"/>
                <w:lang w:eastAsia="en-GB"/>
              </w:rPr>
              <w:t xml:space="preserve"> Summary c</w:t>
            </w:r>
            <w:r>
              <w:rPr>
                <w:rFonts w:cs="Segoe UI"/>
                <w:sz w:val="20"/>
                <w:lang w:eastAsia="en-GB"/>
              </w:rPr>
              <w:t>omparison of accounting assets against</w:t>
            </w:r>
            <w:r w:rsidRPr="00811FD5">
              <w:rPr>
                <w:rFonts w:cs="Segoe UI"/>
                <w:sz w:val="20"/>
                <w:lang w:eastAsia="en-GB"/>
              </w:rPr>
              <w:t xml:space="preserve"> leverage ratio exposure measure</w:t>
            </w:r>
            <w:r w:rsidRPr="006E592F">
              <w:rPr>
                <w:rFonts w:cs="Segoe UI"/>
                <w:sz w:val="20"/>
                <w:lang w:eastAsia="en-GB"/>
              </w:rPr>
              <w:t xml:space="preserve"> </w:t>
            </w:r>
          </w:p>
        </w:tc>
        <w:tc>
          <w:tcPr>
            <w:tcW w:w="992" w:type="dxa"/>
            <w:tcBorders>
              <w:top w:val="single" w:sz="12" w:space="0" w:color="auto"/>
              <w:left w:val="single" w:sz="12" w:space="0" w:color="auto"/>
              <w:bottom w:val="single" w:sz="4" w:space="0" w:color="auto"/>
              <w:right w:val="single" w:sz="12" w:space="0" w:color="auto"/>
            </w:tcBorders>
          </w:tcPr>
          <w:p w:rsidR="00CE1D6C" w:rsidRDefault="00CE1D6C" w:rsidP="00C639E1">
            <w:pPr>
              <w:jc w:val="center"/>
            </w:pPr>
            <w:r w:rsidRPr="00A90974">
              <w:rPr>
                <w:rFonts w:cs="Segoe UI"/>
                <w:lang w:eastAsia="en-GB"/>
              </w:rPr>
              <w:t>II</w:t>
            </w:r>
          </w:p>
        </w:tc>
        <w:tc>
          <w:tcPr>
            <w:tcW w:w="1624" w:type="dxa"/>
            <w:tcBorders>
              <w:top w:val="single" w:sz="12" w:space="0" w:color="auto"/>
              <w:left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top w:val="single" w:sz="12"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r>
              <w:rPr>
                <w:rFonts w:cs="Segoe UI"/>
                <w:sz w:val="20"/>
                <w:lang w:eastAsia="en-GB"/>
              </w:rPr>
              <w:t xml:space="preserve"> </w:t>
            </w:r>
          </w:p>
        </w:tc>
        <w:tc>
          <w:tcPr>
            <w:tcW w:w="1134" w:type="dxa"/>
            <w:tcBorders>
              <w:top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p>
        </w:tc>
        <w:tc>
          <w:tcPr>
            <w:tcW w:w="1134" w:type="dxa"/>
            <w:tcBorders>
              <w:top w:val="single" w:sz="12"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01" w:type="dxa"/>
            <w:tcBorders>
              <w:top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p>
        </w:tc>
      </w:tr>
      <w:tr w:rsidR="00CE1D6C" w:rsidTr="009A68E3">
        <w:trPr>
          <w:cantSplit/>
          <w:trHeight w:val="283"/>
        </w:trPr>
        <w:tc>
          <w:tcPr>
            <w:tcW w:w="1843" w:type="dxa"/>
            <w:vMerge/>
            <w:tcBorders>
              <w:left w:val="nil"/>
              <w:right w:val="single" w:sz="12" w:space="0" w:color="auto"/>
            </w:tcBorders>
          </w:tcPr>
          <w:p w:rsidR="00CE1D6C" w:rsidRPr="007B3828" w:rsidRDefault="00CE1D6C" w:rsidP="007136E5">
            <w:pPr>
              <w:pStyle w:val="TableText"/>
              <w:spacing w:before="0" w:after="0"/>
              <w:rPr>
                <w:rFonts w:cs="Segoe UI"/>
                <w:sz w:val="20"/>
                <w:lang w:eastAsia="en-GB"/>
              </w:rPr>
            </w:pPr>
          </w:p>
        </w:tc>
        <w:tc>
          <w:tcPr>
            <w:tcW w:w="4111" w:type="dxa"/>
            <w:tcBorders>
              <w:top w:val="single" w:sz="4" w:space="0" w:color="auto"/>
              <w:left w:val="single" w:sz="12" w:space="0" w:color="auto"/>
              <w:bottom w:val="single" w:sz="12" w:space="0" w:color="auto"/>
              <w:right w:val="single" w:sz="12" w:space="0" w:color="auto"/>
            </w:tcBorders>
            <w:shd w:val="clear" w:color="auto" w:fill="8EAADB" w:themeFill="accent5" w:themeFillTint="99"/>
          </w:tcPr>
          <w:p w:rsidR="00CE1D6C" w:rsidRPr="00F914B1" w:rsidRDefault="00CE1D6C" w:rsidP="007136E5">
            <w:pPr>
              <w:pStyle w:val="TableText"/>
              <w:spacing w:before="0" w:after="0"/>
              <w:rPr>
                <w:rFonts w:cs="Segoe UI"/>
                <w:noProof/>
                <w:sz w:val="20"/>
                <w:lang w:eastAsia="en-GB"/>
              </w:rPr>
            </w:pPr>
            <w:r w:rsidRPr="00F914B1">
              <w:rPr>
                <w:rFonts w:cs="Segoe UI"/>
                <w:sz w:val="20"/>
                <w:lang w:eastAsia="en-GB"/>
              </w:rPr>
              <w:t xml:space="preserve">Template </w:t>
            </w:r>
            <w:r w:rsidRPr="00811FD5">
              <w:rPr>
                <w:rFonts w:cs="Segoe UI"/>
                <w:sz w:val="20"/>
                <w:lang w:eastAsia="en-GB"/>
              </w:rPr>
              <w:t>LR2</w:t>
            </w:r>
            <w:r>
              <w:rPr>
                <w:rFonts w:cs="Segoe UI"/>
                <w:sz w:val="20"/>
                <w:lang w:eastAsia="en-GB"/>
              </w:rPr>
              <w:t>:</w:t>
            </w:r>
            <w:r w:rsidRPr="00811FD5">
              <w:rPr>
                <w:rFonts w:cs="Segoe UI"/>
                <w:sz w:val="20"/>
                <w:lang w:eastAsia="en-GB"/>
              </w:rPr>
              <w:t xml:space="preserve"> Leverage ratio</w:t>
            </w:r>
            <w:r w:rsidRPr="006E592F">
              <w:rPr>
                <w:rFonts w:cs="Segoe UI"/>
                <w:sz w:val="20"/>
                <w:lang w:eastAsia="en-GB"/>
              </w:rPr>
              <w:t xml:space="preserve"> </w:t>
            </w:r>
          </w:p>
        </w:tc>
        <w:tc>
          <w:tcPr>
            <w:tcW w:w="992" w:type="dxa"/>
            <w:tcBorders>
              <w:top w:val="single" w:sz="4" w:space="0" w:color="auto"/>
              <w:left w:val="single" w:sz="12" w:space="0" w:color="auto"/>
              <w:bottom w:val="single" w:sz="12" w:space="0" w:color="auto"/>
              <w:right w:val="single" w:sz="12" w:space="0" w:color="auto"/>
            </w:tcBorders>
          </w:tcPr>
          <w:p w:rsidR="00CE1D6C" w:rsidRDefault="00CE1D6C" w:rsidP="00C639E1">
            <w:pPr>
              <w:jc w:val="center"/>
            </w:pPr>
            <w:r w:rsidRPr="00A90974">
              <w:rPr>
                <w:rFonts w:cs="Segoe UI"/>
                <w:lang w:eastAsia="en-GB"/>
              </w:rPr>
              <w:t>II</w:t>
            </w:r>
          </w:p>
        </w:tc>
        <w:tc>
          <w:tcPr>
            <w:tcW w:w="1624" w:type="dxa"/>
            <w:tcBorders>
              <w:top w:val="single" w:sz="4" w:space="0" w:color="auto"/>
              <w:left w:val="single" w:sz="12"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Pr>
                <w:rFonts w:cs="Segoe UI"/>
                <w:noProof/>
                <w:sz w:val="20"/>
                <w:lang w:eastAsia="en-GB"/>
              </w:rPr>
              <w:t>L</w:t>
            </w:r>
          </w:p>
        </w:tc>
        <w:tc>
          <w:tcPr>
            <w:tcW w:w="1244" w:type="dxa"/>
            <w:tcBorders>
              <w:top w:val="single" w:sz="4" w:space="0" w:color="auto"/>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34" w:type="dxa"/>
            <w:tcBorders>
              <w:top w:val="single" w:sz="4"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4" w:space="0" w:color="auto"/>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276" w:type="dxa"/>
            <w:tcBorders>
              <w:top w:val="single" w:sz="4"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top w:val="single" w:sz="4"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r>
      <w:tr w:rsidR="00CE1D6C" w:rsidTr="009A68E3">
        <w:trPr>
          <w:cantSplit/>
          <w:trHeight w:val="283"/>
        </w:trPr>
        <w:tc>
          <w:tcPr>
            <w:tcW w:w="1843" w:type="dxa"/>
            <w:vMerge w:val="restart"/>
            <w:tcBorders>
              <w:top w:val="single" w:sz="12" w:space="0" w:color="auto"/>
              <w:left w:val="nil"/>
              <w:right w:val="single" w:sz="12" w:space="0" w:color="auto"/>
            </w:tcBorders>
          </w:tcPr>
          <w:p w:rsidR="00CE1D6C" w:rsidRPr="007B3828" w:rsidRDefault="00CE1D6C" w:rsidP="007136E5">
            <w:pPr>
              <w:pStyle w:val="TableText"/>
              <w:spacing w:before="0" w:after="0"/>
              <w:rPr>
                <w:rFonts w:cs="Segoe UI"/>
                <w:sz w:val="20"/>
                <w:lang w:eastAsia="en-GB"/>
              </w:rPr>
            </w:pPr>
            <w:r w:rsidRPr="007B3828">
              <w:rPr>
                <w:rFonts w:cs="Segoe UI"/>
                <w:sz w:val="20"/>
                <w:lang w:eastAsia="en-GB"/>
              </w:rPr>
              <w:lastRenderedPageBreak/>
              <w:t>Part IID : Liquidity</w:t>
            </w:r>
          </w:p>
        </w:tc>
        <w:tc>
          <w:tcPr>
            <w:tcW w:w="4111" w:type="dxa"/>
            <w:tcBorders>
              <w:top w:val="single" w:sz="12" w:space="0" w:color="auto"/>
              <w:left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rPr>
                <w:rFonts w:cs="Segoe UI"/>
                <w:sz w:val="20"/>
                <w:lang w:eastAsia="en-GB"/>
              </w:rPr>
            </w:pPr>
            <w:r w:rsidRPr="00F914B1">
              <w:rPr>
                <w:rFonts w:cs="Segoe UI"/>
                <w:sz w:val="20"/>
                <w:lang w:eastAsia="en-GB"/>
              </w:rPr>
              <w:t xml:space="preserve">Table </w:t>
            </w:r>
            <w:r w:rsidRPr="001E177B">
              <w:rPr>
                <w:rFonts w:cs="Segoe UI"/>
                <w:sz w:val="20"/>
                <w:lang w:eastAsia="en-GB"/>
              </w:rPr>
              <w:t>LIQA</w:t>
            </w:r>
            <w:r>
              <w:rPr>
                <w:rFonts w:cs="Segoe UI"/>
                <w:sz w:val="20"/>
                <w:lang w:eastAsia="en-GB"/>
              </w:rPr>
              <w:t>:</w:t>
            </w:r>
            <w:r w:rsidRPr="001E177B">
              <w:rPr>
                <w:rFonts w:cs="Segoe UI"/>
                <w:sz w:val="20"/>
                <w:lang w:eastAsia="en-GB"/>
              </w:rPr>
              <w:t xml:space="preserve"> Liquidity risk management</w:t>
            </w:r>
          </w:p>
        </w:tc>
        <w:tc>
          <w:tcPr>
            <w:tcW w:w="992" w:type="dxa"/>
            <w:tcBorders>
              <w:top w:val="single" w:sz="12" w:space="0" w:color="auto"/>
              <w:left w:val="single" w:sz="12" w:space="0" w:color="auto"/>
              <w:bottom w:val="single" w:sz="4" w:space="0" w:color="auto"/>
              <w:right w:val="single" w:sz="12" w:space="0" w:color="auto"/>
            </w:tcBorders>
          </w:tcPr>
          <w:p w:rsidR="00CE1D6C" w:rsidRDefault="00CE1D6C" w:rsidP="00C639E1">
            <w:pPr>
              <w:jc w:val="center"/>
            </w:pPr>
            <w:r w:rsidRPr="00A90974">
              <w:rPr>
                <w:rFonts w:cs="Segoe UI"/>
                <w:lang w:eastAsia="en-GB"/>
              </w:rPr>
              <w:t>II</w:t>
            </w:r>
          </w:p>
        </w:tc>
        <w:tc>
          <w:tcPr>
            <w:tcW w:w="1624" w:type="dxa"/>
            <w:tcBorders>
              <w:top w:val="single" w:sz="12" w:space="0" w:color="auto"/>
              <w:left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 &amp; O</w:t>
            </w:r>
          </w:p>
        </w:tc>
        <w:tc>
          <w:tcPr>
            <w:tcW w:w="1244" w:type="dxa"/>
            <w:tcBorders>
              <w:top w:val="single" w:sz="12"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34" w:type="dxa"/>
            <w:tcBorders>
              <w:top w:val="single" w:sz="12"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top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r>
      <w:tr w:rsidR="00CE1D6C" w:rsidTr="009A68E3">
        <w:trPr>
          <w:cantSplit/>
          <w:trHeight w:val="283"/>
        </w:trPr>
        <w:tc>
          <w:tcPr>
            <w:tcW w:w="1843" w:type="dxa"/>
            <w:vMerge/>
            <w:tcBorders>
              <w:left w:val="nil"/>
              <w:right w:val="single" w:sz="12" w:space="0" w:color="auto"/>
            </w:tcBorders>
          </w:tcPr>
          <w:p w:rsidR="00CE1D6C" w:rsidRPr="00F914B1" w:rsidRDefault="00CE1D6C" w:rsidP="007136E5">
            <w:pPr>
              <w:pStyle w:val="TableText"/>
              <w:spacing w:before="0" w:after="0"/>
              <w:rPr>
                <w:rFonts w:cs="Segoe UI"/>
                <w:sz w:val="20"/>
                <w:lang w:eastAsia="en-GB"/>
              </w:rPr>
            </w:pPr>
          </w:p>
        </w:tc>
        <w:tc>
          <w:tcPr>
            <w:tcW w:w="4111" w:type="dxa"/>
            <w:tcBorders>
              <w:top w:val="single" w:sz="4" w:space="0" w:color="auto"/>
              <w:left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rPr>
                <w:rFonts w:cs="Segoe UI"/>
                <w:sz w:val="20"/>
                <w:lang w:eastAsia="en-GB"/>
              </w:rPr>
            </w:pPr>
            <w:r w:rsidRPr="00F914B1">
              <w:rPr>
                <w:rFonts w:cs="Segoe UI"/>
                <w:sz w:val="20"/>
                <w:lang w:eastAsia="en-GB"/>
              </w:rPr>
              <w:t xml:space="preserve">Template </w:t>
            </w:r>
            <w:r w:rsidRPr="001E177B">
              <w:rPr>
                <w:rFonts w:cs="Segoe UI"/>
                <w:sz w:val="20"/>
                <w:lang w:eastAsia="en-GB"/>
              </w:rPr>
              <w:t>LIQ1</w:t>
            </w:r>
            <w:r>
              <w:rPr>
                <w:rFonts w:cs="Segoe UI"/>
                <w:sz w:val="20"/>
                <w:lang w:eastAsia="en-GB"/>
              </w:rPr>
              <w:t xml:space="preserve">: </w:t>
            </w:r>
            <w:r w:rsidRPr="001E5BFF">
              <w:rPr>
                <w:rFonts w:cs="Segoe UI"/>
                <w:sz w:val="20"/>
                <w:lang w:eastAsia="en-GB"/>
              </w:rPr>
              <w:t>Liquidity Coverage Ratio – for category 1 institution</w:t>
            </w:r>
          </w:p>
        </w:tc>
        <w:tc>
          <w:tcPr>
            <w:tcW w:w="992" w:type="dxa"/>
            <w:tcBorders>
              <w:top w:val="single" w:sz="4" w:space="0" w:color="auto"/>
              <w:left w:val="single" w:sz="12" w:space="0" w:color="auto"/>
              <w:bottom w:val="single" w:sz="4" w:space="0" w:color="auto"/>
              <w:right w:val="single" w:sz="12" w:space="0" w:color="auto"/>
            </w:tcBorders>
          </w:tcPr>
          <w:p w:rsidR="00CE1D6C" w:rsidRDefault="00CE1D6C" w:rsidP="00C639E1">
            <w:pPr>
              <w:jc w:val="center"/>
            </w:pPr>
            <w:r w:rsidRPr="00A90974">
              <w:rPr>
                <w:rFonts w:cs="Segoe UI"/>
                <w:lang w:eastAsia="en-GB"/>
              </w:rPr>
              <w:t>II</w:t>
            </w:r>
          </w:p>
        </w:tc>
        <w:tc>
          <w:tcPr>
            <w:tcW w:w="1624" w:type="dxa"/>
            <w:tcBorders>
              <w:top w:val="single" w:sz="4" w:space="0" w:color="auto"/>
              <w:left w:val="single" w:sz="12"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 &amp; O [</w:t>
            </w:r>
            <w:r w:rsidRPr="00074D82">
              <w:rPr>
                <w:rFonts w:cs="Segoe UI"/>
                <w:sz w:val="20"/>
                <w:lang w:eastAsia="en-GB"/>
              </w:rPr>
              <w:t>designated as category 1 institution</w:t>
            </w:r>
            <w:r>
              <w:rPr>
                <w:rFonts w:cs="Segoe UI"/>
                <w:sz w:val="20"/>
                <w:lang w:eastAsia="en-GB"/>
              </w:rPr>
              <w:t>]</w:t>
            </w:r>
          </w:p>
        </w:tc>
        <w:tc>
          <w:tcPr>
            <w:tcW w:w="1244" w:type="dxa"/>
            <w:tcBorders>
              <w:top w:val="single" w:sz="4"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34" w:type="dxa"/>
            <w:tcBorders>
              <w:top w:val="single" w:sz="4"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4" w:space="0" w:color="auto"/>
              <w:left w:val="single" w:sz="12" w:space="0" w:color="auto"/>
              <w:bottom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276" w:type="dxa"/>
            <w:tcBorders>
              <w:top w:val="single" w:sz="4" w:space="0" w:color="auto"/>
              <w:bottom w:val="single" w:sz="4" w:space="0" w:color="auto"/>
            </w:tcBorders>
            <w:shd w:val="clear" w:color="auto" w:fill="auto"/>
          </w:tcPr>
          <w:p w:rsidR="00CE1D6C" w:rsidRPr="00F914B1" w:rsidRDefault="00CE1D6C" w:rsidP="007136E5">
            <w:pPr>
              <w:pStyle w:val="TableText"/>
              <w:rPr>
                <w:rFonts w:cs="Segoe UI"/>
                <w:sz w:val="20"/>
                <w:lang w:eastAsia="en-GB"/>
              </w:rPr>
            </w:pPr>
          </w:p>
        </w:tc>
        <w:tc>
          <w:tcPr>
            <w:tcW w:w="1101" w:type="dxa"/>
            <w:tcBorders>
              <w:top w:val="single" w:sz="4" w:space="0" w:color="auto"/>
              <w:bottom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r>
      <w:tr w:rsidR="00CE1D6C" w:rsidTr="009A68E3">
        <w:trPr>
          <w:cantSplit/>
          <w:trHeight w:val="283"/>
        </w:trPr>
        <w:tc>
          <w:tcPr>
            <w:tcW w:w="1843" w:type="dxa"/>
            <w:vMerge/>
            <w:tcBorders>
              <w:left w:val="nil"/>
              <w:right w:val="single" w:sz="12" w:space="0" w:color="auto"/>
            </w:tcBorders>
          </w:tcPr>
          <w:p w:rsidR="00CE1D6C" w:rsidRPr="00F914B1" w:rsidRDefault="00CE1D6C" w:rsidP="007136E5">
            <w:pPr>
              <w:pStyle w:val="TableText"/>
              <w:spacing w:before="0" w:after="0"/>
              <w:rPr>
                <w:rFonts w:cs="Segoe UI"/>
                <w:sz w:val="20"/>
                <w:lang w:eastAsia="en-GB"/>
              </w:rPr>
            </w:pPr>
          </w:p>
        </w:tc>
        <w:tc>
          <w:tcPr>
            <w:tcW w:w="4111" w:type="dxa"/>
            <w:tcBorders>
              <w:top w:val="single" w:sz="4" w:space="0" w:color="auto"/>
              <w:left w:val="single" w:sz="12" w:space="0" w:color="auto"/>
              <w:bottom w:val="single" w:sz="12" w:space="0" w:color="auto"/>
              <w:right w:val="single" w:sz="12" w:space="0" w:color="auto"/>
            </w:tcBorders>
            <w:shd w:val="clear" w:color="auto" w:fill="8EAADB" w:themeFill="accent5" w:themeFillTint="99"/>
          </w:tcPr>
          <w:p w:rsidR="00CE1D6C" w:rsidRPr="00F914B1" w:rsidRDefault="00CE1D6C" w:rsidP="007136E5">
            <w:pPr>
              <w:pStyle w:val="TableText"/>
              <w:spacing w:before="0" w:after="0"/>
              <w:rPr>
                <w:rFonts w:cs="Segoe UI"/>
                <w:sz w:val="20"/>
                <w:lang w:eastAsia="en-GB"/>
              </w:rPr>
            </w:pPr>
            <w:r w:rsidRPr="00F914B1">
              <w:rPr>
                <w:rFonts w:cs="Segoe UI"/>
                <w:sz w:val="20"/>
                <w:lang w:eastAsia="en-GB"/>
              </w:rPr>
              <w:t xml:space="preserve">Template </w:t>
            </w:r>
            <w:r w:rsidRPr="001E177B">
              <w:rPr>
                <w:rFonts w:cs="Segoe UI"/>
                <w:sz w:val="20"/>
                <w:lang w:eastAsia="en-GB"/>
              </w:rPr>
              <w:t>LIQ2</w:t>
            </w:r>
            <w:r>
              <w:rPr>
                <w:rFonts w:cs="Segoe UI"/>
                <w:sz w:val="20"/>
                <w:lang w:eastAsia="en-GB"/>
              </w:rPr>
              <w:t>: Net Stable Funding Ratio</w:t>
            </w:r>
            <w:r w:rsidRPr="00D17F5E">
              <w:rPr>
                <w:rFonts w:cs="Segoe UI"/>
                <w:sz w:val="20"/>
                <w:lang w:eastAsia="en-GB"/>
              </w:rPr>
              <w:t xml:space="preserve"> – for category 1 institution</w:t>
            </w:r>
            <w:r w:rsidRPr="006E592F">
              <w:rPr>
                <w:rFonts w:cs="Segoe UI"/>
                <w:sz w:val="20"/>
                <w:lang w:eastAsia="en-GB"/>
              </w:rPr>
              <w:t xml:space="preserve"> </w:t>
            </w:r>
          </w:p>
        </w:tc>
        <w:tc>
          <w:tcPr>
            <w:tcW w:w="992" w:type="dxa"/>
            <w:tcBorders>
              <w:top w:val="single" w:sz="4" w:space="0" w:color="auto"/>
              <w:left w:val="single" w:sz="12" w:space="0" w:color="auto"/>
              <w:right w:val="single" w:sz="12" w:space="0" w:color="auto"/>
            </w:tcBorders>
          </w:tcPr>
          <w:p w:rsidR="00CE1D6C" w:rsidRDefault="00CE1D6C" w:rsidP="00C639E1">
            <w:pPr>
              <w:jc w:val="center"/>
            </w:pPr>
            <w:r w:rsidRPr="002B3F1B">
              <w:rPr>
                <w:rFonts w:cs="Segoe UI"/>
                <w:lang w:eastAsia="en-GB"/>
              </w:rPr>
              <w:t>II</w:t>
            </w:r>
          </w:p>
        </w:tc>
        <w:tc>
          <w:tcPr>
            <w:tcW w:w="1624" w:type="dxa"/>
            <w:tcBorders>
              <w:top w:val="single" w:sz="4" w:space="0" w:color="auto"/>
              <w:left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 &amp; O</w:t>
            </w:r>
            <w:r w:rsidRPr="00074D82">
              <w:rPr>
                <w:rFonts w:cs="Segoe UI"/>
                <w:sz w:val="20"/>
                <w:lang w:eastAsia="en-GB"/>
              </w:rPr>
              <w:t xml:space="preserve"> </w:t>
            </w:r>
            <w:r>
              <w:rPr>
                <w:rFonts w:cs="Segoe UI"/>
                <w:sz w:val="20"/>
                <w:lang w:eastAsia="en-GB"/>
              </w:rPr>
              <w:t>[</w:t>
            </w:r>
            <w:r w:rsidRPr="00074D82">
              <w:rPr>
                <w:rFonts w:cs="Segoe UI"/>
                <w:sz w:val="20"/>
                <w:lang w:eastAsia="en-GB"/>
              </w:rPr>
              <w:t>designated as category 1 institution</w:t>
            </w:r>
            <w:r>
              <w:rPr>
                <w:rFonts w:cs="Segoe UI"/>
                <w:sz w:val="20"/>
                <w:lang w:eastAsia="en-GB"/>
              </w:rPr>
              <w:t>]</w:t>
            </w:r>
          </w:p>
        </w:tc>
        <w:tc>
          <w:tcPr>
            <w:tcW w:w="1244" w:type="dxa"/>
            <w:tcBorders>
              <w:top w:val="single" w:sz="4" w:space="0" w:color="auto"/>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34" w:type="dxa"/>
            <w:tcBorders>
              <w:top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4" w:space="0" w:color="auto"/>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4"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01" w:type="dxa"/>
            <w:tcBorders>
              <w:top w:val="single" w:sz="4"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r>
      <w:tr w:rsidR="00C639E1" w:rsidTr="000D2B04">
        <w:trPr>
          <w:cantSplit/>
          <w:trHeight w:val="283"/>
        </w:trPr>
        <w:tc>
          <w:tcPr>
            <w:tcW w:w="1843" w:type="dxa"/>
            <w:vMerge w:val="restart"/>
            <w:tcBorders>
              <w:top w:val="single" w:sz="12" w:space="0" w:color="auto"/>
              <w:left w:val="nil"/>
              <w:right w:val="single" w:sz="12" w:space="0" w:color="auto"/>
            </w:tcBorders>
          </w:tcPr>
          <w:p w:rsidR="00C639E1" w:rsidRDefault="00C639E1" w:rsidP="00C639E1">
            <w:pPr>
              <w:pStyle w:val="TableText"/>
              <w:spacing w:before="0" w:after="0"/>
              <w:rPr>
                <w:rFonts w:cs="Segoe UI"/>
                <w:sz w:val="20"/>
                <w:lang w:eastAsia="en-GB"/>
              </w:rPr>
            </w:pPr>
            <w:r>
              <w:rPr>
                <w:rFonts w:cs="Segoe UI"/>
                <w:sz w:val="20"/>
                <w:lang w:eastAsia="en-GB"/>
              </w:rPr>
              <w:t>Part III : Credit risk for non-securitization exposures</w:t>
            </w:r>
          </w:p>
        </w:tc>
        <w:tc>
          <w:tcPr>
            <w:tcW w:w="4111" w:type="dxa"/>
            <w:tcBorders>
              <w:top w:val="single" w:sz="12" w:space="0" w:color="auto"/>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Table CRA: General information about credit risk</w:t>
            </w:r>
          </w:p>
        </w:tc>
        <w:tc>
          <w:tcPr>
            <w:tcW w:w="992" w:type="dxa"/>
            <w:tcBorders>
              <w:top w:val="single" w:sz="12" w:space="0" w:color="auto"/>
              <w:left w:val="single" w:sz="12" w:space="0" w:color="auto"/>
              <w:right w:val="single" w:sz="12" w:space="0" w:color="auto"/>
            </w:tcBorders>
          </w:tcPr>
          <w:p w:rsidR="00C639E1" w:rsidRDefault="00C639E1" w:rsidP="00C639E1">
            <w:pPr>
              <w:jc w:val="center"/>
            </w:pPr>
            <w:r w:rsidRPr="000A18D0">
              <w:rPr>
                <w:rFonts w:cs="Segoe UI"/>
                <w:lang w:eastAsia="en-GB"/>
              </w:rPr>
              <w:t>I</w:t>
            </w:r>
          </w:p>
        </w:tc>
        <w:tc>
          <w:tcPr>
            <w:tcW w:w="1624" w:type="dxa"/>
            <w:tcBorders>
              <w:top w:val="single" w:sz="12" w:space="0" w:color="auto"/>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tcBorders>
              <w:top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CR1: Credit quality of exposures</w:t>
            </w:r>
          </w:p>
        </w:tc>
        <w:tc>
          <w:tcPr>
            <w:tcW w:w="992" w:type="dxa"/>
            <w:tcBorders>
              <w:left w:val="single" w:sz="12" w:space="0" w:color="auto"/>
              <w:right w:val="single" w:sz="12" w:space="0" w:color="auto"/>
            </w:tcBorders>
          </w:tcPr>
          <w:p w:rsidR="00C639E1" w:rsidRDefault="00C639E1" w:rsidP="00C639E1">
            <w:pPr>
              <w:jc w:val="center"/>
            </w:pPr>
            <w:r w:rsidRPr="000A18D0">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noProof/>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CR2: Changes in defaulted loans and debt securities</w:t>
            </w:r>
          </w:p>
        </w:tc>
        <w:tc>
          <w:tcPr>
            <w:tcW w:w="992" w:type="dxa"/>
            <w:tcBorders>
              <w:left w:val="single" w:sz="12" w:space="0" w:color="auto"/>
              <w:right w:val="single" w:sz="12" w:space="0" w:color="auto"/>
            </w:tcBorders>
          </w:tcPr>
          <w:p w:rsidR="00C639E1" w:rsidRDefault="00C639E1" w:rsidP="00C639E1">
            <w:pPr>
              <w:jc w:val="center"/>
            </w:pPr>
            <w:r w:rsidRPr="000A18D0">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noProof/>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bottom w:val="single" w:sz="4"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Table CRB: Additional disclosure related to credit quality of exposures</w:t>
            </w:r>
          </w:p>
        </w:tc>
        <w:tc>
          <w:tcPr>
            <w:tcW w:w="992" w:type="dxa"/>
            <w:tcBorders>
              <w:left w:val="single" w:sz="12" w:space="0" w:color="auto"/>
              <w:bottom w:val="single" w:sz="4" w:space="0" w:color="auto"/>
              <w:right w:val="single" w:sz="12" w:space="0" w:color="auto"/>
            </w:tcBorders>
          </w:tcPr>
          <w:p w:rsidR="00C639E1" w:rsidRDefault="00C639E1" w:rsidP="00C639E1">
            <w:pPr>
              <w:jc w:val="center"/>
            </w:pPr>
            <w:r w:rsidRPr="000A18D0">
              <w:rPr>
                <w:rFonts w:cs="Segoe UI"/>
                <w:lang w:eastAsia="en-GB"/>
              </w:rPr>
              <w:t>I</w:t>
            </w:r>
          </w:p>
        </w:tc>
        <w:tc>
          <w:tcPr>
            <w:tcW w:w="1624" w:type="dxa"/>
            <w:tcBorders>
              <w:left w:val="single" w:sz="12" w:space="0" w:color="auto"/>
              <w:bottom w:val="single" w:sz="4" w:space="0" w:color="auto"/>
              <w:right w:val="single" w:sz="12" w:space="0" w:color="auto"/>
            </w:tcBorders>
            <w:shd w:val="clear" w:color="auto" w:fill="auto"/>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left w:val="single" w:sz="12" w:space="0" w:color="auto"/>
              <w:bottom w:val="single" w:sz="4"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bottom w:val="single" w:sz="4"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bottom w:val="single" w:sz="4"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tcBorders>
              <w:bottom w:val="single" w:sz="4"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bottom w:val="single" w:sz="4"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695"/>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Table CRC: Qualitative disclosures related to credit risk mitigation</w:t>
            </w:r>
          </w:p>
        </w:tc>
        <w:tc>
          <w:tcPr>
            <w:tcW w:w="992" w:type="dxa"/>
            <w:tcBorders>
              <w:left w:val="single" w:sz="12" w:space="0" w:color="auto"/>
              <w:right w:val="single" w:sz="12" w:space="0" w:color="auto"/>
            </w:tcBorders>
          </w:tcPr>
          <w:p w:rsidR="00C639E1" w:rsidRDefault="00C639E1" w:rsidP="00C639E1">
            <w:pPr>
              <w:jc w:val="center"/>
            </w:pPr>
            <w:r w:rsidRPr="000A18D0">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noProof/>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CR3: Overview of recognized credit risk mitigation</w:t>
            </w:r>
          </w:p>
        </w:tc>
        <w:tc>
          <w:tcPr>
            <w:tcW w:w="992" w:type="dxa"/>
            <w:tcBorders>
              <w:left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noProof/>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Table CRD: Qualitative disclosures on use of ECAI ratings under STC approach</w:t>
            </w:r>
          </w:p>
        </w:tc>
        <w:tc>
          <w:tcPr>
            <w:tcW w:w="992" w:type="dxa"/>
            <w:tcBorders>
              <w:left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sz w:val="20"/>
                <w:lang w:eastAsia="en-GB"/>
              </w:rPr>
              <w:t>STC</w:t>
            </w:r>
            <w:r>
              <w:rPr>
                <w:rFonts w:asciiTheme="minorEastAsia" w:eastAsiaTheme="minorEastAsia" w:hAnsiTheme="minorEastAsia" w:cs="Segoe UI" w:hint="eastAsia"/>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CR4: Credit risk exposures and effects of recognized credit risk mitigation – for STC approach or BSC approach</w:t>
            </w:r>
          </w:p>
        </w:tc>
        <w:tc>
          <w:tcPr>
            <w:tcW w:w="992" w:type="dxa"/>
            <w:tcBorders>
              <w:left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noProof/>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STC; BSC</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CR5: Credit risk exposures by asset classes and by risk weights – for STC approach or BSC approach</w:t>
            </w:r>
          </w:p>
        </w:tc>
        <w:tc>
          <w:tcPr>
            <w:tcW w:w="992" w:type="dxa"/>
            <w:tcBorders>
              <w:left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noProof/>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STC; BSC</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Table CRE: Qualitative disclosures related to internal models for measuring credit risk under IRB approach</w:t>
            </w:r>
          </w:p>
        </w:tc>
        <w:tc>
          <w:tcPr>
            <w:tcW w:w="992" w:type="dxa"/>
            <w:tcBorders>
              <w:left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sz w:val="20"/>
                <w:lang w:eastAsia="en-GB"/>
              </w:rPr>
              <w:t>IRB</w:t>
            </w:r>
            <w:r>
              <w:rPr>
                <w:rFonts w:asciiTheme="minorEastAsia" w:eastAsiaTheme="minorEastAsia" w:hAnsiTheme="minorEastAsia" w:cs="Segoe UI" w:hint="eastAsia"/>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CR6: Credit risk exposures by portfolio and PD ranges – for IRB approach</w:t>
            </w:r>
          </w:p>
        </w:tc>
        <w:tc>
          <w:tcPr>
            <w:tcW w:w="992" w:type="dxa"/>
            <w:tcBorders>
              <w:left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noProof/>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IRB</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bottom w:val="single" w:sz="4"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CR7: Effects on RWA of recognized credit derivative contracts used as recognized credit risk mitigation – for IRB approach</w:t>
            </w:r>
          </w:p>
        </w:tc>
        <w:tc>
          <w:tcPr>
            <w:tcW w:w="992" w:type="dxa"/>
            <w:tcBorders>
              <w:left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noProof/>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IRB</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CR8: RWA flow statements of credit risk exposures under IRB approach</w:t>
            </w:r>
          </w:p>
        </w:tc>
        <w:tc>
          <w:tcPr>
            <w:tcW w:w="992" w:type="dxa"/>
            <w:tcBorders>
              <w:left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right w:val="single" w:sz="12" w:space="0" w:color="auto"/>
            </w:tcBorders>
          </w:tcPr>
          <w:p w:rsidR="00C639E1" w:rsidRDefault="006843CC" w:rsidP="00C639E1">
            <w:pPr>
              <w:pStyle w:val="TableText"/>
              <w:spacing w:before="0" w:after="0"/>
              <w:jc w:val="center"/>
              <w:rPr>
                <w:rFonts w:cs="Segoe UI"/>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IRB</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34" w:type="dxa"/>
            <w:tcBorders>
              <w:right w:val="single" w:sz="12" w:space="0" w:color="auto"/>
            </w:tcBorders>
          </w:tcPr>
          <w:p w:rsidR="00C639E1" w:rsidRDefault="00C639E1" w:rsidP="00C639E1">
            <w:pPr>
              <w:pStyle w:val="TableText"/>
              <w:spacing w:before="0" w:after="0"/>
              <w:jc w:val="center"/>
              <w:rPr>
                <w:rFonts w:cs="Segoe UI"/>
                <w:noProof/>
                <w:sz w:val="20"/>
                <w:lang w:eastAsia="en-GB"/>
              </w:rPr>
            </w:pPr>
          </w:p>
        </w:tc>
        <w:tc>
          <w:tcPr>
            <w:tcW w:w="1134" w:type="dxa"/>
            <w:tcBorders>
              <w:left w:val="single" w:sz="12" w:space="0" w:color="auto"/>
            </w:tcBorders>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276" w:type="dxa"/>
          </w:tcPr>
          <w:p w:rsidR="00C639E1" w:rsidRDefault="00C639E1" w:rsidP="00C639E1">
            <w:pPr>
              <w:pStyle w:val="TableText"/>
              <w:spacing w:before="0" w:after="0"/>
              <w:jc w:val="center"/>
              <w:rPr>
                <w:rFonts w:cs="Segoe UI"/>
                <w:noProof/>
                <w:sz w:val="20"/>
                <w:lang w:eastAsia="en-GB"/>
              </w:rPr>
            </w:pPr>
          </w:p>
        </w:tc>
        <w:tc>
          <w:tcPr>
            <w:tcW w:w="1101" w:type="dxa"/>
            <w:tcBorders>
              <w:right w:val="single" w:sz="12" w:space="0" w:color="auto"/>
            </w:tcBorders>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tcPr>
          <w:p w:rsidR="00C639E1" w:rsidRDefault="00C639E1" w:rsidP="00C639E1">
            <w:pPr>
              <w:pStyle w:val="TableText"/>
              <w:spacing w:before="0" w:after="0"/>
              <w:rPr>
                <w:rFonts w:cs="Segoe UI"/>
                <w:noProof/>
                <w:sz w:val="20"/>
                <w:lang w:eastAsia="en-GB"/>
              </w:rPr>
            </w:pPr>
            <w:r>
              <w:rPr>
                <w:rFonts w:cs="Segoe UI"/>
                <w:sz w:val="20"/>
                <w:lang w:eastAsia="en-GB"/>
              </w:rPr>
              <w:t>Template CR9: Back-testing of PD per portfolio – for IRB approach</w:t>
            </w:r>
          </w:p>
        </w:tc>
        <w:tc>
          <w:tcPr>
            <w:tcW w:w="992" w:type="dxa"/>
            <w:tcBorders>
              <w:left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right w:val="single" w:sz="12" w:space="0" w:color="auto"/>
            </w:tcBorders>
          </w:tcPr>
          <w:p w:rsidR="00C639E1" w:rsidRDefault="006843CC" w:rsidP="00C639E1">
            <w:pPr>
              <w:pStyle w:val="TableText"/>
              <w:spacing w:before="0" w:after="0"/>
              <w:jc w:val="center"/>
              <w:rPr>
                <w:rFonts w:cs="Segoe UI"/>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IRB</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tcPr>
          <w:p w:rsidR="00C639E1" w:rsidRDefault="00C639E1" w:rsidP="00C639E1">
            <w:pPr>
              <w:pStyle w:val="TableText"/>
              <w:spacing w:before="0" w:after="0"/>
              <w:jc w:val="center"/>
              <w:rPr>
                <w:rFonts w:cs="Segoe UI"/>
                <w:sz w:val="20"/>
                <w:lang w:eastAsia="en-GB"/>
              </w:rPr>
            </w:pPr>
          </w:p>
        </w:tc>
        <w:tc>
          <w:tcPr>
            <w:tcW w:w="1134" w:type="dxa"/>
            <w:tcBorders>
              <w:right w:val="single" w:sz="12" w:space="0" w:color="auto"/>
            </w:tcBorders>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tcBorders>
          </w:tcPr>
          <w:p w:rsidR="00C639E1" w:rsidRDefault="00C639E1" w:rsidP="00C639E1">
            <w:pPr>
              <w:pStyle w:val="TableText"/>
              <w:spacing w:before="0" w:after="0"/>
              <w:jc w:val="center"/>
              <w:rPr>
                <w:rFonts w:cs="Segoe UI"/>
                <w:sz w:val="20"/>
                <w:lang w:eastAsia="en-GB"/>
              </w:rPr>
            </w:pPr>
          </w:p>
        </w:tc>
        <w:tc>
          <w:tcPr>
            <w:tcW w:w="1276" w:type="dxa"/>
          </w:tcPr>
          <w:p w:rsidR="00C639E1" w:rsidRDefault="00C639E1" w:rsidP="00C639E1">
            <w:pPr>
              <w:pStyle w:val="TableText"/>
              <w:spacing w:before="0" w:after="0"/>
              <w:jc w:val="center"/>
              <w:rPr>
                <w:rFonts w:cs="Segoe UI"/>
                <w:sz w:val="20"/>
                <w:lang w:eastAsia="en-GB"/>
              </w:rPr>
            </w:pPr>
          </w:p>
        </w:tc>
        <w:tc>
          <w:tcPr>
            <w:tcW w:w="1101" w:type="dxa"/>
            <w:tcBorders>
              <w:right w:val="single" w:sz="12" w:space="0" w:color="auto"/>
            </w:tcBorders>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bottom w:val="single" w:sz="12" w:space="0" w:color="auto"/>
              <w:right w:val="single" w:sz="12" w:space="0" w:color="auto"/>
            </w:tcBorders>
          </w:tcPr>
          <w:p w:rsidR="00C639E1" w:rsidRDefault="00C639E1" w:rsidP="00C639E1">
            <w:pPr>
              <w:pStyle w:val="TableText"/>
              <w:spacing w:before="0" w:after="0"/>
              <w:rPr>
                <w:rFonts w:cs="Segoe UI"/>
                <w:noProof/>
                <w:sz w:val="20"/>
                <w:lang w:eastAsia="en-GB"/>
              </w:rPr>
            </w:pPr>
            <w:r>
              <w:rPr>
                <w:rFonts w:cs="Segoe UI"/>
                <w:sz w:val="20"/>
                <w:lang w:eastAsia="en-GB"/>
              </w:rPr>
              <w:t>Template CR10: Specialized lending under supervisory slotting criteria approach and equities under simple risk-weight method – for IRB approach</w:t>
            </w:r>
          </w:p>
        </w:tc>
        <w:tc>
          <w:tcPr>
            <w:tcW w:w="992" w:type="dxa"/>
            <w:tcBorders>
              <w:left w:val="single" w:sz="12" w:space="0" w:color="auto"/>
              <w:bottom w:val="single" w:sz="12" w:space="0" w:color="auto"/>
              <w:right w:val="single" w:sz="12" w:space="0" w:color="auto"/>
            </w:tcBorders>
          </w:tcPr>
          <w:p w:rsidR="00C639E1" w:rsidRDefault="00C639E1" w:rsidP="00C639E1">
            <w:pPr>
              <w:jc w:val="center"/>
            </w:pPr>
            <w:r w:rsidRPr="008B76E7">
              <w:rPr>
                <w:rFonts w:cs="Segoe UI"/>
                <w:lang w:eastAsia="en-GB"/>
              </w:rPr>
              <w:t>I</w:t>
            </w:r>
          </w:p>
        </w:tc>
        <w:tc>
          <w:tcPr>
            <w:tcW w:w="1624" w:type="dxa"/>
            <w:tcBorders>
              <w:left w:val="single" w:sz="12" w:space="0" w:color="auto"/>
              <w:bottom w:val="single" w:sz="12" w:space="0" w:color="auto"/>
              <w:right w:val="single" w:sz="12" w:space="0" w:color="auto"/>
            </w:tcBorders>
          </w:tcPr>
          <w:p w:rsidR="00C639E1" w:rsidRDefault="006843CC" w:rsidP="00C639E1">
            <w:pPr>
              <w:pStyle w:val="TableText"/>
              <w:spacing w:before="0" w:after="0"/>
              <w:jc w:val="center"/>
              <w:rPr>
                <w:rFonts w:cs="Segoe UI"/>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IRB</w:t>
            </w:r>
            <w:r>
              <w:rPr>
                <w:rFonts w:asciiTheme="minorEastAsia" w:eastAsiaTheme="minorEastAsia" w:hAnsiTheme="minorEastAsia" w:cs="Segoe UI" w:hint="eastAsia"/>
                <w:noProof/>
                <w:sz w:val="20"/>
                <w:lang w:eastAsia="zh-TW"/>
              </w:rPr>
              <w:t>]</w:t>
            </w:r>
          </w:p>
        </w:tc>
        <w:tc>
          <w:tcPr>
            <w:tcW w:w="1244" w:type="dxa"/>
            <w:tcBorders>
              <w:left w:val="single" w:sz="12" w:space="0" w:color="auto"/>
              <w:bottom w:val="single" w:sz="12" w:space="0" w:color="auto"/>
            </w:tcBorders>
          </w:tcPr>
          <w:p w:rsidR="00C639E1" w:rsidRDefault="00C639E1" w:rsidP="00C639E1">
            <w:pPr>
              <w:pStyle w:val="TableText"/>
              <w:spacing w:before="0" w:after="0"/>
              <w:jc w:val="center"/>
              <w:rPr>
                <w:rFonts w:cs="Segoe UI"/>
                <w:sz w:val="20"/>
                <w:lang w:eastAsia="en-GB"/>
              </w:rPr>
            </w:pPr>
          </w:p>
        </w:tc>
        <w:tc>
          <w:tcPr>
            <w:tcW w:w="1134" w:type="dxa"/>
            <w:tcBorders>
              <w:bottom w:val="single" w:sz="12" w:space="0" w:color="auto"/>
              <w:right w:val="single" w:sz="12" w:space="0" w:color="auto"/>
            </w:tcBorders>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bottom w:val="single" w:sz="12" w:space="0" w:color="auto"/>
            </w:tcBorders>
          </w:tcPr>
          <w:p w:rsidR="00C639E1" w:rsidRDefault="00C639E1" w:rsidP="00C639E1">
            <w:pPr>
              <w:pStyle w:val="TableText"/>
              <w:spacing w:before="0" w:after="0"/>
              <w:jc w:val="center"/>
              <w:rPr>
                <w:rFonts w:cs="Segoe UI"/>
                <w:noProof/>
                <w:sz w:val="20"/>
                <w:lang w:eastAsia="en-GB"/>
              </w:rPr>
            </w:pPr>
          </w:p>
        </w:tc>
        <w:tc>
          <w:tcPr>
            <w:tcW w:w="1276" w:type="dxa"/>
            <w:tcBorders>
              <w:bottom w:val="single" w:sz="12" w:space="0" w:color="auto"/>
            </w:tcBorders>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bottom w:val="single" w:sz="12" w:space="0" w:color="auto"/>
              <w:right w:val="single" w:sz="12" w:space="0" w:color="auto"/>
            </w:tcBorders>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val="restart"/>
            <w:tcBorders>
              <w:top w:val="single" w:sz="12" w:space="0" w:color="auto"/>
              <w:left w:val="nil"/>
              <w:right w:val="single" w:sz="12" w:space="0" w:color="auto"/>
            </w:tcBorders>
          </w:tcPr>
          <w:p w:rsidR="00C639E1" w:rsidRDefault="00C639E1" w:rsidP="00C639E1">
            <w:pPr>
              <w:pStyle w:val="TableText"/>
              <w:spacing w:before="0" w:after="0"/>
              <w:rPr>
                <w:rFonts w:cs="Segoe UI"/>
                <w:sz w:val="20"/>
                <w:lang w:eastAsia="en-GB"/>
              </w:rPr>
            </w:pPr>
            <w:r>
              <w:rPr>
                <w:rFonts w:cs="Segoe UI"/>
                <w:sz w:val="20"/>
                <w:lang w:eastAsia="en-GB"/>
              </w:rPr>
              <w:t>Part IV : Counterparty Credit risk</w:t>
            </w:r>
          </w:p>
        </w:tc>
        <w:tc>
          <w:tcPr>
            <w:tcW w:w="4111" w:type="dxa"/>
            <w:tcBorders>
              <w:top w:val="single" w:sz="12" w:space="0" w:color="auto"/>
              <w:left w:val="single" w:sz="12" w:space="0" w:color="auto"/>
              <w:bottom w:val="single" w:sz="4"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Table CCRA: Qualitative disclosures related to counterparty credit risk (including those arising from clearing through CCPs)</w:t>
            </w:r>
          </w:p>
        </w:tc>
        <w:tc>
          <w:tcPr>
            <w:tcW w:w="992" w:type="dxa"/>
            <w:tcBorders>
              <w:top w:val="single" w:sz="12" w:space="0" w:color="auto"/>
              <w:left w:val="single" w:sz="12" w:space="0" w:color="auto"/>
              <w:right w:val="single" w:sz="12" w:space="0" w:color="auto"/>
            </w:tcBorders>
          </w:tcPr>
          <w:p w:rsidR="00C639E1" w:rsidRDefault="00C639E1" w:rsidP="00C639E1">
            <w:pPr>
              <w:jc w:val="center"/>
            </w:pPr>
            <w:r w:rsidRPr="00173FE8">
              <w:rPr>
                <w:rFonts w:cs="Segoe UI"/>
                <w:lang w:eastAsia="en-GB"/>
              </w:rPr>
              <w:t>I</w:t>
            </w:r>
          </w:p>
        </w:tc>
        <w:tc>
          <w:tcPr>
            <w:tcW w:w="1624" w:type="dxa"/>
            <w:tcBorders>
              <w:top w:val="single" w:sz="12" w:space="0" w:color="auto"/>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tcBorders>
              <w:top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8EAADB" w:themeFill="accent5" w:themeFillTint="99"/>
          </w:tcPr>
          <w:p w:rsidR="00C639E1" w:rsidRDefault="00C639E1" w:rsidP="00C639E1">
            <w:pPr>
              <w:pStyle w:val="TableText"/>
              <w:spacing w:before="0" w:after="0"/>
              <w:rPr>
                <w:rFonts w:cs="Segoe UI"/>
                <w:noProof/>
                <w:sz w:val="20"/>
                <w:lang w:eastAsia="en-GB"/>
              </w:rPr>
            </w:pPr>
            <w:r>
              <w:rPr>
                <w:rFonts w:cs="Segoe UI"/>
                <w:sz w:val="20"/>
                <w:lang w:eastAsia="en-GB"/>
              </w:rPr>
              <w:t>Template CCR1: Analysis of counterparty default risk exposures (other than those to CCPs) by approaches</w:t>
            </w:r>
          </w:p>
        </w:tc>
        <w:tc>
          <w:tcPr>
            <w:tcW w:w="992" w:type="dxa"/>
            <w:tcBorders>
              <w:left w:val="single" w:sz="12" w:space="0" w:color="auto"/>
              <w:right w:val="single" w:sz="12" w:space="0" w:color="auto"/>
            </w:tcBorders>
          </w:tcPr>
          <w:p w:rsidR="00C639E1" w:rsidRDefault="00C639E1" w:rsidP="00C639E1">
            <w:pPr>
              <w:jc w:val="center"/>
            </w:pPr>
            <w:r w:rsidRPr="00173FE8">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noProof/>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8EAADB" w:themeFill="accent5" w:themeFillTint="99"/>
          </w:tcPr>
          <w:p w:rsidR="00C639E1" w:rsidRDefault="00C639E1" w:rsidP="00C639E1">
            <w:pPr>
              <w:pStyle w:val="TableText"/>
              <w:spacing w:before="0" w:after="0"/>
              <w:rPr>
                <w:rFonts w:cs="Segoe UI"/>
                <w:noProof/>
                <w:sz w:val="20"/>
                <w:lang w:eastAsia="en-GB"/>
              </w:rPr>
            </w:pPr>
            <w:r>
              <w:rPr>
                <w:rFonts w:cs="Segoe UI"/>
                <w:sz w:val="20"/>
                <w:lang w:eastAsia="en-GB"/>
              </w:rPr>
              <w:t>Template CCR2: CVA capital charge</w:t>
            </w:r>
          </w:p>
        </w:tc>
        <w:tc>
          <w:tcPr>
            <w:tcW w:w="992" w:type="dxa"/>
            <w:tcBorders>
              <w:left w:val="single" w:sz="12" w:space="0" w:color="auto"/>
              <w:right w:val="single" w:sz="12" w:space="0" w:color="auto"/>
            </w:tcBorders>
          </w:tcPr>
          <w:p w:rsidR="00C639E1" w:rsidRDefault="00C639E1" w:rsidP="00C639E1">
            <w:pPr>
              <w:jc w:val="center"/>
            </w:pPr>
            <w:r w:rsidRPr="00173FE8">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noProof/>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CCR3: Counterparty default risk exposures (other than those to CCPs) by asset classes and by risk weights – for STC approach or BSC approach</w:t>
            </w:r>
          </w:p>
        </w:tc>
        <w:tc>
          <w:tcPr>
            <w:tcW w:w="992" w:type="dxa"/>
            <w:tcBorders>
              <w:left w:val="single" w:sz="12" w:space="0" w:color="auto"/>
              <w:right w:val="single" w:sz="12" w:space="0" w:color="auto"/>
            </w:tcBorders>
          </w:tcPr>
          <w:p w:rsidR="00C639E1" w:rsidRDefault="00C639E1" w:rsidP="00C639E1">
            <w:pPr>
              <w:jc w:val="center"/>
            </w:pPr>
            <w:r w:rsidRPr="00173FE8">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noProof/>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STC; BSC</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bottom w:val="single" w:sz="4"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CCR4: Counterparty default risk exposures (other than those to CCPs) by portfolio and PD range – for IRB approach</w:t>
            </w:r>
          </w:p>
        </w:tc>
        <w:tc>
          <w:tcPr>
            <w:tcW w:w="992" w:type="dxa"/>
            <w:tcBorders>
              <w:left w:val="single" w:sz="12" w:space="0" w:color="auto"/>
              <w:right w:val="single" w:sz="12" w:space="0" w:color="auto"/>
            </w:tcBorders>
          </w:tcPr>
          <w:p w:rsidR="00C639E1" w:rsidRDefault="00C639E1" w:rsidP="00C639E1">
            <w:pPr>
              <w:jc w:val="center"/>
            </w:pPr>
            <w:r w:rsidRPr="000B4C2D">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noProof/>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IRB</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8EAADB" w:themeFill="accent5" w:themeFillTint="99"/>
          </w:tcPr>
          <w:p w:rsidR="00C639E1" w:rsidRDefault="00C639E1" w:rsidP="00C639E1">
            <w:pPr>
              <w:pStyle w:val="TableText"/>
              <w:spacing w:before="0" w:after="0"/>
              <w:rPr>
                <w:rFonts w:cs="Segoe UI"/>
                <w:noProof/>
                <w:sz w:val="20"/>
                <w:lang w:eastAsia="en-GB"/>
              </w:rPr>
            </w:pPr>
            <w:r>
              <w:rPr>
                <w:rFonts w:cs="Segoe UI"/>
                <w:sz w:val="20"/>
                <w:lang w:eastAsia="en-GB"/>
              </w:rPr>
              <w:t>Template CCR5: Composition of collateral for counterparty default risk exposures (including those for contracts or transactions cleared through CCPs)</w:t>
            </w:r>
          </w:p>
        </w:tc>
        <w:tc>
          <w:tcPr>
            <w:tcW w:w="992" w:type="dxa"/>
            <w:tcBorders>
              <w:left w:val="single" w:sz="12" w:space="0" w:color="auto"/>
              <w:right w:val="single" w:sz="12" w:space="0" w:color="auto"/>
            </w:tcBorders>
          </w:tcPr>
          <w:p w:rsidR="00C639E1" w:rsidRDefault="00C639E1" w:rsidP="00C639E1">
            <w:pPr>
              <w:jc w:val="center"/>
            </w:pPr>
            <w:r w:rsidRPr="000B4C2D">
              <w:rPr>
                <w:rFonts w:cs="Segoe UI"/>
                <w:lang w:eastAsia="en-GB"/>
              </w:rPr>
              <w:t>I</w:t>
            </w:r>
          </w:p>
        </w:tc>
        <w:tc>
          <w:tcPr>
            <w:tcW w:w="1624" w:type="dxa"/>
            <w:tcBorders>
              <w:left w:val="single" w:sz="12" w:space="0" w:color="auto"/>
              <w:right w:val="single" w:sz="12" w:space="0" w:color="auto"/>
            </w:tcBorders>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left w:val="single" w:sz="12" w:space="0" w:color="auto"/>
            </w:tcBorders>
          </w:tcPr>
          <w:p w:rsidR="00C639E1" w:rsidRDefault="00C639E1" w:rsidP="00C639E1">
            <w:pPr>
              <w:pStyle w:val="TableText"/>
              <w:spacing w:before="0" w:after="0"/>
              <w:jc w:val="center"/>
              <w:rPr>
                <w:rFonts w:cs="Segoe UI"/>
                <w:sz w:val="20"/>
                <w:lang w:eastAsia="en-GB"/>
              </w:rPr>
            </w:pPr>
          </w:p>
        </w:tc>
        <w:tc>
          <w:tcPr>
            <w:tcW w:w="1134" w:type="dxa"/>
            <w:tcBorders>
              <w:right w:val="single" w:sz="12" w:space="0" w:color="auto"/>
            </w:tcBorders>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r>
              <w:rPr>
                <w:rFonts w:cs="Segoe UI"/>
                <w:sz w:val="20"/>
                <w:lang w:eastAsia="en-GB"/>
              </w:rPr>
              <w:t xml:space="preserve"> (fixed columns, flexible rows)</w:t>
            </w:r>
          </w:p>
        </w:tc>
        <w:tc>
          <w:tcPr>
            <w:tcW w:w="1134" w:type="dxa"/>
            <w:tcBorders>
              <w:left w:val="single" w:sz="12" w:space="0" w:color="auto"/>
            </w:tcBorders>
          </w:tcPr>
          <w:p w:rsidR="00C639E1" w:rsidRDefault="00C639E1" w:rsidP="00C639E1">
            <w:pPr>
              <w:pStyle w:val="TableText"/>
              <w:spacing w:before="0" w:after="0"/>
              <w:jc w:val="center"/>
              <w:rPr>
                <w:rFonts w:cs="Segoe UI"/>
                <w:sz w:val="20"/>
                <w:lang w:eastAsia="en-GB"/>
              </w:rPr>
            </w:pPr>
          </w:p>
        </w:tc>
        <w:tc>
          <w:tcPr>
            <w:tcW w:w="1276" w:type="dxa"/>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01" w:type="dxa"/>
            <w:tcBorders>
              <w:right w:val="single" w:sz="12" w:space="0" w:color="auto"/>
            </w:tcBorders>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bottom w:val="single" w:sz="4" w:space="0" w:color="auto"/>
              <w:right w:val="single" w:sz="12" w:space="0" w:color="auto"/>
            </w:tcBorders>
            <w:shd w:val="clear" w:color="auto" w:fill="8EAADB" w:themeFill="accent5" w:themeFillTint="99"/>
          </w:tcPr>
          <w:p w:rsidR="00C639E1" w:rsidRDefault="00C639E1" w:rsidP="00C639E1">
            <w:pPr>
              <w:pStyle w:val="TableText"/>
              <w:spacing w:before="0" w:after="0"/>
              <w:rPr>
                <w:rFonts w:cs="Segoe UI"/>
                <w:noProof/>
                <w:sz w:val="20"/>
                <w:lang w:eastAsia="en-GB"/>
              </w:rPr>
            </w:pPr>
            <w:r>
              <w:rPr>
                <w:rFonts w:cs="Segoe UI"/>
                <w:sz w:val="20"/>
                <w:lang w:eastAsia="en-GB"/>
              </w:rPr>
              <w:t>Template CCR6: Credit-related derivatives contracts</w:t>
            </w:r>
          </w:p>
        </w:tc>
        <w:tc>
          <w:tcPr>
            <w:tcW w:w="992" w:type="dxa"/>
            <w:tcBorders>
              <w:left w:val="single" w:sz="12" w:space="0" w:color="auto"/>
              <w:right w:val="single" w:sz="12" w:space="0" w:color="auto"/>
            </w:tcBorders>
          </w:tcPr>
          <w:p w:rsidR="00C639E1" w:rsidRDefault="00C639E1" w:rsidP="00C639E1">
            <w:pPr>
              <w:jc w:val="center"/>
            </w:pPr>
            <w:r w:rsidRPr="000B4C2D">
              <w:rPr>
                <w:rFonts w:cs="Segoe UI"/>
                <w:lang w:eastAsia="en-GB"/>
              </w:rPr>
              <w:t>I</w:t>
            </w:r>
          </w:p>
        </w:tc>
        <w:tc>
          <w:tcPr>
            <w:tcW w:w="1624" w:type="dxa"/>
            <w:tcBorders>
              <w:left w:val="single" w:sz="12" w:space="0" w:color="auto"/>
              <w:right w:val="single" w:sz="12" w:space="0" w:color="auto"/>
            </w:tcBorders>
          </w:tcPr>
          <w:p w:rsidR="00C639E1" w:rsidRDefault="00F46D3E" w:rsidP="00C639E1">
            <w:pPr>
              <w:pStyle w:val="TableText"/>
              <w:spacing w:before="0" w:after="0"/>
              <w:jc w:val="center"/>
              <w:rPr>
                <w:rFonts w:cs="Segoe UI"/>
                <w:noProof/>
                <w:sz w:val="20"/>
                <w:lang w:eastAsia="en-GB"/>
              </w:rPr>
            </w:pPr>
            <w:r w:rsidRPr="003936F9">
              <w:rPr>
                <w:rFonts w:cs="Segoe UI" w:hint="eastAsia"/>
                <w:noProof/>
                <w:sz w:val="20"/>
                <w:lang w:eastAsia="en-GB"/>
              </w:rPr>
              <w:t>L</w:t>
            </w:r>
          </w:p>
        </w:tc>
        <w:tc>
          <w:tcPr>
            <w:tcW w:w="1244" w:type="dxa"/>
            <w:tcBorders>
              <w:left w:val="single" w:sz="12" w:space="0" w:color="auto"/>
            </w:tcBorders>
          </w:tcPr>
          <w:p w:rsidR="00C639E1" w:rsidRDefault="00C639E1" w:rsidP="00C639E1">
            <w:pPr>
              <w:pStyle w:val="TableText"/>
              <w:spacing w:before="0" w:after="0"/>
              <w:jc w:val="center"/>
              <w:rPr>
                <w:rFonts w:cs="Segoe UI"/>
                <w:noProof/>
                <w:sz w:val="20"/>
                <w:lang w:eastAsia="en-GB"/>
              </w:rPr>
            </w:pPr>
          </w:p>
        </w:tc>
        <w:tc>
          <w:tcPr>
            <w:tcW w:w="1134" w:type="dxa"/>
            <w:tcBorders>
              <w:right w:val="single" w:sz="12" w:space="0" w:color="auto"/>
            </w:tcBorders>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tcBorders>
          </w:tcPr>
          <w:p w:rsidR="00C639E1" w:rsidRDefault="00C639E1" w:rsidP="00C639E1">
            <w:pPr>
              <w:pStyle w:val="TableText"/>
              <w:spacing w:before="0" w:after="0"/>
              <w:jc w:val="center"/>
              <w:rPr>
                <w:rFonts w:cs="Segoe UI"/>
                <w:sz w:val="20"/>
                <w:lang w:eastAsia="en-GB"/>
              </w:rPr>
            </w:pPr>
          </w:p>
        </w:tc>
        <w:tc>
          <w:tcPr>
            <w:tcW w:w="1276" w:type="dxa"/>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01" w:type="dxa"/>
            <w:tcBorders>
              <w:right w:val="single" w:sz="12" w:space="0" w:color="auto"/>
            </w:tcBorders>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8EAADB" w:themeFill="accent5" w:themeFillTint="99"/>
          </w:tcPr>
          <w:p w:rsidR="00C639E1" w:rsidRDefault="00C639E1" w:rsidP="00C639E1">
            <w:pPr>
              <w:pStyle w:val="TableText"/>
              <w:spacing w:before="0" w:after="0"/>
              <w:rPr>
                <w:rFonts w:cs="Segoe UI"/>
                <w:noProof/>
                <w:sz w:val="20"/>
                <w:lang w:eastAsia="en-GB"/>
              </w:rPr>
            </w:pPr>
            <w:r>
              <w:rPr>
                <w:rFonts w:cs="Segoe UI"/>
                <w:sz w:val="20"/>
                <w:lang w:eastAsia="en-GB"/>
              </w:rPr>
              <w:t>Template CCR7: RWA flow statements of default risk exposures under IMM(CCR) approach</w:t>
            </w:r>
          </w:p>
        </w:tc>
        <w:tc>
          <w:tcPr>
            <w:tcW w:w="992" w:type="dxa"/>
            <w:tcBorders>
              <w:left w:val="single" w:sz="12" w:space="0" w:color="auto"/>
              <w:right w:val="single" w:sz="12" w:space="0" w:color="auto"/>
            </w:tcBorders>
          </w:tcPr>
          <w:p w:rsidR="00C639E1" w:rsidRDefault="00C639E1" w:rsidP="00C639E1">
            <w:pPr>
              <w:jc w:val="center"/>
            </w:pPr>
            <w:r w:rsidRPr="000B4C2D">
              <w:rPr>
                <w:rFonts w:cs="Segoe UI"/>
                <w:lang w:eastAsia="en-GB"/>
              </w:rPr>
              <w:t>I</w:t>
            </w:r>
          </w:p>
        </w:tc>
        <w:tc>
          <w:tcPr>
            <w:tcW w:w="1624" w:type="dxa"/>
            <w:tcBorders>
              <w:left w:val="single" w:sz="12" w:space="0" w:color="auto"/>
              <w:right w:val="single" w:sz="12" w:space="0" w:color="auto"/>
            </w:tcBorders>
          </w:tcPr>
          <w:p w:rsidR="00C639E1" w:rsidRDefault="006843CC" w:rsidP="00C639E1">
            <w:pPr>
              <w:pStyle w:val="TableText"/>
              <w:spacing w:before="0" w:after="0"/>
              <w:jc w:val="center"/>
              <w:rPr>
                <w:rFonts w:cs="Segoe UI"/>
                <w:noProof/>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IMM(CCR)</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276" w:type="dxa"/>
          </w:tcPr>
          <w:p w:rsidR="00C639E1" w:rsidRDefault="00C639E1" w:rsidP="00C639E1">
            <w:pPr>
              <w:pStyle w:val="TableText"/>
              <w:spacing w:before="0" w:after="0"/>
              <w:jc w:val="center"/>
              <w:rPr>
                <w:rFonts w:cs="Segoe UI"/>
                <w:sz w:val="20"/>
                <w:lang w:eastAsia="en-GB"/>
              </w:rPr>
            </w:pPr>
          </w:p>
        </w:tc>
        <w:tc>
          <w:tcPr>
            <w:tcW w:w="1101" w:type="dxa"/>
            <w:tcBorders>
              <w:right w:val="single" w:sz="12" w:space="0" w:color="auto"/>
            </w:tcBorders>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bottom w:val="single" w:sz="12" w:space="0" w:color="auto"/>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bottom w:val="single" w:sz="12" w:space="0" w:color="auto"/>
              <w:right w:val="single" w:sz="12" w:space="0" w:color="auto"/>
            </w:tcBorders>
            <w:shd w:val="clear" w:color="auto" w:fill="8EAADB" w:themeFill="accent5" w:themeFillTint="99"/>
          </w:tcPr>
          <w:p w:rsidR="00C639E1" w:rsidRDefault="00C639E1" w:rsidP="00C639E1">
            <w:pPr>
              <w:pStyle w:val="TableText"/>
              <w:spacing w:before="0" w:after="0"/>
              <w:rPr>
                <w:rFonts w:cs="Segoe UI"/>
                <w:sz w:val="20"/>
                <w:lang w:eastAsia="en-GB"/>
              </w:rPr>
            </w:pPr>
            <w:r>
              <w:rPr>
                <w:rFonts w:cs="Segoe UI"/>
                <w:sz w:val="20"/>
                <w:lang w:eastAsia="en-GB"/>
              </w:rPr>
              <w:t>Template CCR8: Exposures to CCPs</w:t>
            </w:r>
          </w:p>
          <w:p w:rsidR="000E2735" w:rsidRDefault="000E2735" w:rsidP="00C639E1">
            <w:pPr>
              <w:pStyle w:val="TableText"/>
              <w:spacing w:before="0" w:after="0"/>
              <w:rPr>
                <w:rFonts w:cs="Segoe UI"/>
                <w:sz w:val="20"/>
                <w:lang w:eastAsia="en-GB"/>
              </w:rPr>
            </w:pPr>
          </w:p>
        </w:tc>
        <w:tc>
          <w:tcPr>
            <w:tcW w:w="992" w:type="dxa"/>
            <w:tcBorders>
              <w:left w:val="single" w:sz="12" w:space="0" w:color="auto"/>
              <w:bottom w:val="single" w:sz="12" w:space="0" w:color="auto"/>
              <w:right w:val="single" w:sz="12" w:space="0" w:color="auto"/>
            </w:tcBorders>
          </w:tcPr>
          <w:p w:rsidR="00C639E1" w:rsidRDefault="00C639E1" w:rsidP="00C639E1">
            <w:pPr>
              <w:jc w:val="center"/>
            </w:pPr>
            <w:r w:rsidRPr="000B4C2D">
              <w:rPr>
                <w:rFonts w:cs="Segoe UI"/>
                <w:lang w:eastAsia="en-GB"/>
              </w:rPr>
              <w:t>I</w:t>
            </w:r>
          </w:p>
        </w:tc>
        <w:tc>
          <w:tcPr>
            <w:tcW w:w="1624" w:type="dxa"/>
            <w:tcBorders>
              <w:left w:val="single" w:sz="12" w:space="0" w:color="auto"/>
              <w:bottom w:val="single" w:sz="12" w:space="0" w:color="auto"/>
              <w:right w:val="single" w:sz="12" w:space="0" w:color="auto"/>
            </w:tcBorders>
          </w:tcPr>
          <w:p w:rsidR="00C639E1" w:rsidRDefault="00F46D3E" w:rsidP="00C639E1">
            <w:pPr>
              <w:pStyle w:val="TableText"/>
              <w:spacing w:before="0" w:after="0"/>
              <w:jc w:val="center"/>
              <w:rPr>
                <w:rFonts w:cs="Segoe UI"/>
                <w:noProof/>
                <w:sz w:val="20"/>
                <w:lang w:eastAsia="en-GB"/>
              </w:rPr>
            </w:pPr>
            <w:r w:rsidRPr="003936F9">
              <w:rPr>
                <w:rFonts w:cs="Segoe UI" w:hint="eastAsia"/>
                <w:noProof/>
                <w:sz w:val="20"/>
                <w:lang w:eastAsia="en-GB"/>
              </w:rPr>
              <w:t>L</w:t>
            </w:r>
          </w:p>
        </w:tc>
        <w:tc>
          <w:tcPr>
            <w:tcW w:w="1244" w:type="dxa"/>
            <w:tcBorders>
              <w:left w:val="single" w:sz="12" w:space="0" w:color="auto"/>
              <w:bottom w:val="single" w:sz="12" w:space="0" w:color="auto"/>
            </w:tcBorders>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bottom w:val="single" w:sz="12" w:space="0" w:color="auto"/>
              <w:right w:val="single" w:sz="12" w:space="0" w:color="auto"/>
            </w:tcBorders>
          </w:tcPr>
          <w:p w:rsidR="00C639E1" w:rsidRDefault="00C639E1" w:rsidP="00C639E1">
            <w:pPr>
              <w:pStyle w:val="TableText"/>
              <w:spacing w:before="0" w:after="0"/>
              <w:rPr>
                <w:rFonts w:cs="Segoe UI"/>
                <w:sz w:val="20"/>
                <w:lang w:eastAsia="en-GB"/>
              </w:rPr>
            </w:pPr>
          </w:p>
        </w:tc>
        <w:tc>
          <w:tcPr>
            <w:tcW w:w="1134" w:type="dxa"/>
            <w:tcBorders>
              <w:left w:val="single" w:sz="12" w:space="0" w:color="auto"/>
              <w:bottom w:val="single" w:sz="12" w:space="0" w:color="auto"/>
            </w:tcBorders>
          </w:tcPr>
          <w:p w:rsidR="00C639E1" w:rsidRDefault="00C639E1" w:rsidP="00C639E1">
            <w:pPr>
              <w:pStyle w:val="TableText"/>
              <w:spacing w:before="0" w:after="0"/>
              <w:jc w:val="center"/>
              <w:rPr>
                <w:rFonts w:cs="Segoe UI"/>
                <w:noProof/>
                <w:sz w:val="20"/>
                <w:lang w:eastAsia="en-GB"/>
              </w:rPr>
            </w:pPr>
          </w:p>
        </w:tc>
        <w:tc>
          <w:tcPr>
            <w:tcW w:w="1276" w:type="dxa"/>
            <w:tcBorders>
              <w:bottom w:val="single" w:sz="12" w:space="0" w:color="auto"/>
            </w:tcBorders>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bottom w:val="single" w:sz="12" w:space="0" w:color="auto"/>
              <w:right w:val="single" w:sz="12" w:space="0" w:color="auto"/>
            </w:tcBorders>
          </w:tcPr>
          <w:p w:rsidR="00C639E1" w:rsidRDefault="00C639E1" w:rsidP="00C639E1">
            <w:pPr>
              <w:pStyle w:val="TableText"/>
              <w:spacing w:before="0" w:after="0"/>
              <w:rPr>
                <w:rFonts w:cs="Segoe UI"/>
                <w:sz w:val="20"/>
                <w:lang w:eastAsia="en-GB"/>
              </w:rPr>
            </w:pPr>
          </w:p>
        </w:tc>
      </w:tr>
      <w:tr w:rsidR="00C639E1" w:rsidTr="00CE1D6C">
        <w:trPr>
          <w:cantSplit/>
          <w:trHeight w:val="283"/>
        </w:trPr>
        <w:tc>
          <w:tcPr>
            <w:tcW w:w="1843" w:type="dxa"/>
            <w:vMerge w:val="restart"/>
            <w:tcBorders>
              <w:top w:val="single" w:sz="12" w:space="0" w:color="auto"/>
              <w:left w:val="nil"/>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Part V : Securitization exposures</w:t>
            </w:r>
          </w:p>
        </w:tc>
        <w:tc>
          <w:tcPr>
            <w:tcW w:w="4111" w:type="dxa"/>
            <w:tcBorders>
              <w:top w:val="single" w:sz="12" w:space="0" w:color="auto"/>
              <w:left w:val="single" w:sz="12" w:space="0" w:color="auto"/>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Table SECA: Qualitative disclosures related to securitization exposures</w:t>
            </w:r>
          </w:p>
        </w:tc>
        <w:tc>
          <w:tcPr>
            <w:tcW w:w="992" w:type="dxa"/>
            <w:tcBorders>
              <w:top w:val="single" w:sz="12" w:space="0" w:color="auto"/>
              <w:left w:val="single" w:sz="12" w:space="0" w:color="auto"/>
              <w:right w:val="single" w:sz="12" w:space="0" w:color="auto"/>
            </w:tcBorders>
          </w:tcPr>
          <w:p w:rsidR="00C639E1" w:rsidRDefault="00C639E1" w:rsidP="00C639E1">
            <w:pPr>
              <w:jc w:val="center"/>
            </w:pPr>
            <w:r w:rsidRPr="000B4C2D">
              <w:rPr>
                <w:rFonts w:cs="Segoe UI"/>
                <w:lang w:eastAsia="en-GB"/>
              </w:rPr>
              <w:t>I</w:t>
            </w:r>
          </w:p>
        </w:tc>
        <w:tc>
          <w:tcPr>
            <w:tcW w:w="1624" w:type="dxa"/>
            <w:tcBorders>
              <w:top w:val="single" w:sz="12" w:space="0" w:color="auto"/>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3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tcBorders>
              <w:top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shd w:val="clear" w:color="auto" w:fill="auto"/>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Template SEC1: Securitization exposures in banking book</w:t>
            </w:r>
          </w:p>
        </w:tc>
        <w:tc>
          <w:tcPr>
            <w:tcW w:w="992" w:type="dxa"/>
            <w:tcBorders>
              <w:left w:val="single" w:sz="12" w:space="0" w:color="auto"/>
              <w:right w:val="single" w:sz="12" w:space="0" w:color="auto"/>
            </w:tcBorders>
          </w:tcPr>
          <w:p w:rsidR="00C639E1" w:rsidRDefault="00C639E1" w:rsidP="00C639E1">
            <w:pPr>
              <w:jc w:val="center"/>
            </w:pPr>
            <w:r w:rsidRPr="000B4C2D">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shd w:val="clear" w:color="auto" w:fill="auto"/>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Template SEC2: Securitization exposures in trading book</w:t>
            </w:r>
          </w:p>
        </w:tc>
        <w:tc>
          <w:tcPr>
            <w:tcW w:w="992" w:type="dxa"/>
            <w:tcBorders>
              <w:left w:val="single" w:sz="12" w:space="0" w:color="auto"/>
              <w:right w:val="single" w:sz="12" w:space="0" w:color="auto"/>
            </w:tcBorders>
          </w:tcPr>
          <w:p w:rsidR="00C639E1" w:rsidRDefault="00C639E1" w:rsidP="00C639E1">
            <w:pPr>
              <w:jc w:val="center"/>
            </w:pPr>
            <w:r w:rsidRPr="000B4C2D">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shd w:val="clear" w:color="auto" w:fill="auto"/>
          </w:tcPr>
          <w:p w:rsidR="00C639E1" w:rsidRDefault="00C639E1" w:rsidP="00C639E1">
            <w:pPr>
              <w:pStyle w:val="TableText"/>
              <w:spacing w:before="0" w:after="0"/>
              <w:rPr>
                <w:rFonts w:cs="Segoe UI"/>
                <w:sz w:val="20"/>
                <w:lang w:eastAsia="en-GB"/>
              </w:rPr>
            </w:pPr>
          </w:p>
        </w:tc>
        <w:tc>
          <w:tcPr>
            <w:tcW w:w="4111" w:type="dxa"/>
            <w:tcBorders>
              <w:left w:val="single" w:sz="12" w:space="0" w:color="auto"/>
              <w:bottom w:val="single" w:sz="4" w:space="0" w:color="auto"/>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Template SEC3: Securitization exposures in banking book and associated capital requirements – where AI acts as originator</w:t>
            </w:r>
          </w:p>
        </w:tc>
        <w:tc>
          <w:tcPr>
            <w:tcW w:w="992" w:type="dxa"/>
            <w:tcBorders>
              <w:left w:val="single" w:sz="12" w:space="0" w:color="auto"/>
              <w:bottom w:val="single" w:sz="4" w:space="0" w:color="auto"/>
              <w:right w:val="single" w:sz="12" w:space="0" w:color="auto"/>
            </w:tcBorders>
          </w:tcPr>
          <w:p w:rsidR="00C639E1" w:rsidRDefault="00C639E1" w:rsidP="00C639E1">
            <w:pPr>
              <w:jc w:val="center"/>
            </w:pPr>
            <w:r w:rsidRPr="005A244E">
              <w:rPr>
                <w:rFonts w:cs="Segoe UI"/>
                <w:lang w:eastAsia="en-GB"/>
              </w:rPr>
              <w:t>I</w:t>
            </w:r>
          </w:p>
        </w:tc>
        <w:tc>
          <w:tcPr>
            <w:tcW w:w="1624" w:type="dxa"/>
            <w:tcBorders>
              <w:left w:val="single" w:sz="12" w:space="0" w:color="auto"/>
              <w:bottom w:val="single" w:sz="4" w:space="0" w:color="auto"/>
              <w:right w:val="single" w:sz="12" w:space="0" w:color="auto"/>
            </w:tcBorders>
            <w:shd w:val="clear" w:color="auto" w:fill="auto"/>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left w:val="single" w:sz="12" w:space="0" w:color="auto"/>
              <w:bottom w:val="single" w:sz="4"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34" w:type="dxa"/>
            <w:tcBorders>
              <w:bottom w:val="single" w:sz="4" w:space="0" w:color="auto"/>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bottom w:val="single" w:sz="4"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tcBorders>
              <w:bottom w:val="single" w:sz="4"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bottom w:val="single" w:sz="4" w:space="0" w:color="auto"/>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shd w:val="clear" w:color="auto" w:fill="auto"/>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Template SEC4: Securitization exposures in banking book and associated capital requirements – where AI acts as investor</w:t>
            </w:r>
          </w:p>
        </w:tc>
        <w:tc>
          <w:tcPr>
            <w:tcW w:w="992" w:type="dxa"/>
            <w:tcBorders>
              <w:left w:val="single" w:sz="12" w:space="0" w:color="auto"/>
              <w:right w:val="single" w:sz="12" w:space="0" w:color="auto"/>
            </w:tcBorders>
          </w:tcPr>
          <w:p w:rsidR="00C639E1" w:rsidRDefault="00C639E1" w:rsidP="00C639E1">
            <w:pPr>
              <w:jc w:val="center"/>
            </w:pPr>
            <w:r w:rsidRPr="005A244E">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val="restart"/>
            <w:tcBorders>
              <w:top w:val="single" w:sz="12" w:space="0" w:color="auto"/>
              <w:left w:val="nil"/>
              <w:right w:val="single" w:sz="12" w:space="0" w:color="auto"/>
            </w:tcBorders>
          </w:tcPr>
          <w:p w:rsidR="00C639E1" w:rsidRDefault="00C639E1" w:rsidP="00C639E1">
            <w:pPr>
              <w:pStyle w:val="TableText"/>
              <w:spacing w:before="0" w:after="0"/>
              <w:rPr>
                <w:rFonts w:cs="Segoe UI"/>
                <w:sz w:val="20"/>
                <w:lang w:eastAsia="en-GB"/>
              </w:rPr>
            </w:pPr>
            <w:r>
              <w:rPr>
                <w:rFonts w:cs="Segoe UI"/>
                <w:sz w:val="20"/>
                <w:lang w:eastAsia="en-GB"/>
              </w:rPr>
              <w:t>Part VI : Market risk</w:t>
            </w:r>
          </w:p>
        </w:tc>
        <w:tc>
          <w:tcPr>
            <w:tcW w:w="4111" w:type="dxa"/>
            <w:tcBorders>
              <w:top w:val="single" w:sz="12" w:space="0" w:color="auto"/>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Table MRA: Qualitative disclosures related to market risk</w:t>
            </w:r>
          </w:p>
        </w:tc>
        <w:tc>
          <w:tcPr>
            <w:tcW w:w="992" w:type="dxa"/>
            <w:tcBorders>
              <w:top w:val="single" w:sz="12" w:space="0" w:color="auto"/>
              <w:left w:val="single" w:sz="12" w:space="0" w:color="auto"/>
              <w:right w:val="single" w:sz="12" w:space="0" w:color="auto"/>
            </w:tcBorders>
          </w:tcPr>
          <w:p w:rsidR="00C639E1" w:rsidRDefault="00C639E1" w:rsidP="00C639E1">
            <w:pPr>
              <w:jc w:val="center"/>
            </w:pPr>
            <w:r w:rsidRPr="005A244E">
              <w:rPr>
                <w:rFonts w:cs="Segoe UI"/>
                <w:lang w:eastAsia="en-GB"/>
              </w:rPr>
              <w:t>I</w:t>
            </w:r>
          </w:p>
        </w:tc>
        <w:tc>
          <w:tcPr>
            <w:tcW w:w="1624" w:type="dxa"/>
            <w:tcBorders>
              <w:top w:val="single" w:sz="12" w:space="0" w:color="auto"/>
              <w:left w:val="single" w:sz="12" w:space="0" w:color="auto"/>
              <w:right w:val="single" w:sz="12" w:space="0" w:color="auto"/>
            </w:tcBorders>
            <w:shd w:val="clear" w:color="auto" w:fill="auto"/>
          </w:tcPr>
          <w:p w:rsidR="00C639E1" w:rsidRDefault="00F46D3E" w:rsidP="00C639E1">
            <w:pPr>
              <w:pStyle w:val="TableText"/>
              <w:spacing w:before="0" w:after="0"/>
              <w:jc w:val="center"/>
              <w:rPr>
                <w:rFonts w:cs="Segoe UI"/>
                <w:sz w:val="20"/>
                <w:lang w:eastAsia="en-GB"/>
              </w:rPr>
            </w:pPr>
            <w:r w:rsidRPr="003936F9">
              <w:rPr>
                <w:rFonts w:cs="Segoe UI" w:hint="eastAsia"/>
                <w:noProof/>
                <w:sz w:val="20"/>
                <w:lang w:eastAsia="en-GB"/>
              </w:rPr>
              <w:t>L</w:t>
            </w:r>
            <w:r w:rsidR="00C639E1">
              <w:rPr>
                <w:rFonts w:cs="Segoe UI"/>
                <w:noProof/>
                <w:sz w:val="20"/>
                <w:lang w:eastAsia="en-GB"/>
              </w:rPr>
              <w:t xml:space="preserve"> (other than exempted)</w:t>
            </w:r>
          </w:p>
        </w:tc>
        <w:tc>
          <w:tcPr>
            <w:tcW w:w="124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top w:val="single" w:sz="12" w:space="0" w:color="auto"/>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tcBorders>
              <w:top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top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Table MRB: Additional qualitative disclosures for AI using IMM approach</w:t>
            </w:r>
          </w:p>
        </w:tc>
        <w:tc>
          <w:tcPr>
            <w:tcW w:w="992" w:type="dxa"/>
            <w:tcBorders>
              <w:left w:val="single" w:sz="12" w:space="0" w:color="auto"/>
              <w:right w:val="single" w:sz="12" w:space="0" w:color="auto"/>
            </w:tcBorders>
          </w:tcPr>
          <w:p w:rsidR="00C639E1" w:rsidRDefault="00C639E1" w:rsidP="00C639E1">
            <w:pPr>
              <w:jc w:val="center"/>
            </w:pPr>
            <w:r w:rsidRPr="005A244E">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sz w:val="20"/>
                <w:lang w:eastAsia="en-GB"/>
              </w:rPr>
              <w:t>IMM</w:t>
            </w:r>
            <w:r>
              <w:rPr>
                <w:rFonts w:asciiTheme="minorEastAsia" w:eastAsiaTheme="minorEastAsia" w:hAnsiTheme="minorEastAsia" w:cs="Segoe UI" w:hint="eastAsia"/>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MR1: Market risk under STM approach</w:t>
            </w:r>
          </w:p>
        </w:tc>
        <w:tc>
          <w:tcPr>
            <w:tcW w:w="992" w:type="dxa"/>
            <w:tcBorders>
              <w:left w:val="single" w:sz="12" w:space="0" w:color="auto"/>
              <w:right w:val="single" w:sz="12" w:space="0" w:color="auto"/>
            </w:tcBorders>
          </w:tcPr>
          <w:p w:rsidR="00C639E1" w:rsidRDefault="00C639E1" w:rsidP="00C639E1">
            <w:pPr>
              <w:jc w:val="center"/>
            </w:pPr>
            <w:r w:rsidRPr="005A244E">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noProof/>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noProof/>
                <w:sz w:val="20"/>
                <w:lang w:eastAsia="en-GB"/>
              </w:rPr>
              <w:t>STM</w:t>
            </w:r>
            <w:r>
              <w:rPr>
                <w:rFonts w:asciiTheme="minorEastAsia" w:eastAsiaTheme="minorEastAsia" w:hAnsiTheme="minorEastAsia" w:cs="Segoe UI" w:hint="eastAsia"/>
                <w:noProof/>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MR2: RWA flow statements of market risk exposures under IMM approach</w:t>
            </w:r>
          </w:p>
        </w:tc>
        <w:tc>
          <w:tcPr>
            <w:tcW w:w="992" w:type="dxa"/>
            <w:tcBorders>
              <w:left w:val="single" w:sz="12" w:space="0" w:color="auto"/>
              <w:right w:val="single" w:sz="12" w:space="0" w:color="auto"/>
            </w:tcBorders>
          </w:tcPr>
          <w:p w:rsidR="00C639E1" w:rsidRDefault="00C639E1" w:rsidP="00C639E1">
            <w:pPr>
              <w:jc w:val="center"/>
            </w:pPr>
            <w:r w:rsidRPr="005A244E">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sz w:val="20"/>
                <w:lang w:eastAsia="en-GB"/>
              </w:rPr>
              <w:t>IMM</w:t>
            </w:r>
            <w:r>
              <w:rPr>
                <w:rFonts w:asciiTheme="minorEastAsia" w:eastAsiaTheme="minorEastAsia" w:hAnsiTheme="minorEastAsia" w:cs="Segoe UI" w:hint="eastAsia"/>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276" w:type="dxa"/>
            <w:shd w:val="clear" w:color="auto" w:fill="auto"/>
          </w:tcPr>
          <w:p w:rsidR="00C639E1" w:rsidRDefault="00C639E1" w:rsidP="00C639E1">
            <w:pPr>
              <w:pStyle w:val="TableText"/>
              <w:spacing w:before="0" w:after="0"/>
              <w:jc w:val="center"/>
              <w:rPr>
                <w:rFonts w:cs="Segoe UI"/>
                <w:noProof/>
                <w:sz w:val="20"/>
                <w:lang w:eastAsia="en-GB"/>
              </w:rPr>
            </w:pP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CE1D6C">
        <w:trPr>
          <w:cantSplit/>
          <w:trHeight w:val="283"/>
        </w:trPr>
        <w:tc>
          <w:tcPr>
            <w:tcW w:w="1843" w:type="dxa"/>
            <w:vMerge/>
            <w:tcBorders>
              <w:left w:val="nil"/>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639E1" w:rsidRDefault="00C639E1" w:rsidP="00C639E1">
            <w:pPr>
              <w:pStyle w:val="TableText"/>
              <w:spacing w:before="0" w:after="0"/>
              <w:rPr>
                <w:rFonts w:cs="Segoe UI"/>
                <w:noProof/>
                <w:sz w:val="20"/>
                <w:lang w:eastAsia="en-GB"/>
              </w:rPr>
            </w:pPr>
            <w:r>
              <w:rPr>
                <w:rFonts w:cs="Segoe UI"/>
                <w:sz w:val="20"/>
                <w:lang w:eastAsia="en-GB"/>
              </w:rPr>
              <w:t>Template MR3: IMM approach values for market risk exposures</w:t>
            </w:r>
          </w:p>
        </w:tc>
        <w:tc>
          <w:tcPr>
            <w:tcW w:w="992" w:type="dxa"/>
            <w:tcBorders>
              <w:left w:val="single" w:sz="12" w:space="0" w:color="auto"/>
              <w:right w:val="single" w:sz="12" w:space="0" w:color="auto"/>
            </w:tcBorders>
          </w:tcPr>
          <w:p w:rsidR="00C639E1" w:rsidRDefault="00C639E1" w:rsidP="00C639E1">
            <w:pPr>
              <w:jc w:val="center"/>
            </w:pPr>
            <w:r w:rsidRPr="005A244E">
              <w:rPr>
                <w:rFonts w:cs="Segoe UI"/>
                <w:lang w:eastAsia="en-GB"/>
              </w:rPr>
              <w:t>I</w:t>
            </w:r>
          </w:p>
        </w:tc>
        <w:tc>
          <w:tcPr>
            <w:tcW w:w="1624" w:type="dxa"/>
            <w:tcBorders>
              <w:left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noProof/>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sz w:val="20"/>
                <w:lang w:eastAsia="en-GB"/>
              </w:rPr>
              <w:t>IMM</w:t>
            </w:r>
            <w:r>
              <w:rPr>
                <w:rFonts w:asciiTheme="minorEastAsia" w:eastAsiaTheme="minorEastAsia" w:hAnsiTheme="minorEastAsia" w:cs="Segoe UI" w:hint="eastAsia"/>
                <w:sz w:val="20"/>
                <w:lang w:eastAsia="zh-TW"/>
              </w:rPr>
              <w:t>]</w:t>
            </w:r>
          </w:p>
        </w:tc>
        <w:tc>
          <w:tcPr>
            <w:tcW w:w="124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lef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c>
          <w:tcPr>
            <w:tcW w:w="1276" w:type="dxa"/>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right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r>
      <w:tr w:rsidR="00C639E1" w:rsidTr="009A68E3">
        <w:trPr>
          <w:cantSplit/>
          <w:trHeight w:val="283"/>
        </w:trPr>
        <w:tc>
          <w:tcPr>
            <w:tcW w:w="1843" w:type="dxa"/>
            <w:vMerge/>
            <w:tcBorders>
              <w:left w:val="nil"/>
              <w:bottom w:val="single" w:sz="12" w:space="0" w:color="auto"/>
              <w:right w:val="single" w:sz="12" w:space="0" w:color="auto"/>
            </w:tcBorders>
          </w:tcPr>
          <w:p w:rsidR="00C639E1" w:rsidRDefault="00C639E1" w:rsidP="00C639E1">
            <w:pPr>
              <w:pStyle w:val="TableText"/>
              <w:spacing w:before="0" w:after="0"/>
              <w:rPr>
                <w:rFonts w:cs="Segoe UI"/>
                <w:sz w:val="20"/>
                <w:lang w:eastAsia="en-GB"/>
              </w:rPr>
            </w:pPr>
          </w:p>
        </w:tc>
        <w:tc>
          <w:tcPr>
            <w:tcW w:w="4111" w:type="dxa"/>
            <w:tcBorders>
              <w:left w:val="single" w:sz="12" w:space="0" w:color="auto"/>
              <w:bottom w:val="single" w:sz="12" w:space="0" w:color="auto"/>
              <w:right w:val="single" w:sz="12" w:space="0" w:color="auto"/>
            </w:tcBorders>
            <w:shd w:val="clear" w:color="auto" w:fill="auto"/>
          </w:tcPr>
          <w:p w:rsidR="00C639E1" w:rsidRDefault="00C639E1" w:rsidP="00C639E1">
            <w:pPr>
              <w:pStyle w:val="TableText"/>
              <w:spacing w:before="0" w:after="0"/>
              <w:rPr>
                <w:rFonts w:cs="Segoe UI"/>
                <w:sz w:val="20"/>
                <w:lang w:eastAsia="en-GB"/>
              </w:rPr>
            </w:pPr>
            <w:r>
              <w:rPr>
                <w:rFonts w:cs="Segoe UI"/>
                <w:sz w:val="20"/>
                <w:lang w:eastAsia="en-GB"/>
              </w:rPr>
              <w:t xml:space="preserve">Template MR4: Comparison of </w:t>
            </w:r>
            <w:proofErr w:type="spellStart"/>
            <w:r>
              <w:rPr>
                <w:rFonts w:cs="Segoe UI"/>
                <w:sz w:val="20"/>
                <w:lang w:eastAsia="en-GB"/>
              </w:rPr>
              <w:t>VaR</w:t>
            </w:r>
            <w:proofErr w:type="spellEnd"/>
            <w:r>
              <w:rPr>
                <w:rFonts w:cs="Segoe UI"/>
                <w:sz w:val="20"/>
                <w:lang w:eastAsia="en-GB"/>
              </w:rPr>
              <w:t xml:space="preserve"> estimates with gains or losses</w:t>
            </w:r>
          </w:p>
        </w:tc>
        <w:tc>
          <w:tcPr>
            <w:tcW w:w="992" w:type="dxa"/>
            <w:tcBorders>
              <w:left w:val="single" w:sz="12" w:space="0" w:color="auto"/>
              <w:bottom w:val="single" w:sz="12" w:space="0" w:color="auto"/>
              <w:right w:val="single" w:sz="12" w:space="0" w:color="auto"/>
            </w:tcBorders>
          </w:tcPr>
          <w:p w:rsidR="00C639E1" w:rsidRDefault="00C639E1" w:rsidP="00C639E1">
            <w:pPr>
              <w:jc w:val="center"/>
            </w:pPr>
            <w:r w:rsidRPr="005A244E">
              <w:rPr>
                <w:rFonts w:cs="Segoe UI"/>
                <w:lang w:eastAsia="en-GB"/>
              </w:rPr>
              <w:t>I</w:t>
            </w:r>
          </w:p>
        </w:tc>
        <w:tc>
          <w:tcPr>
            <w:tcW w:w="1624" w:type="dxa"/>
            <w:tcBorders>
              <w:left w:val="single" w:sz="12" w:space="0" w:color="auto"/>
              <w:bottom w:val="single" w:sz="12" w:space="0" w:color="auto"/>
              <w:right w:val="single" w:sz="12" w:space="0" w:color="auto"/>
            </w:tcBorders>
            <w:shd w:val="clear" w:color="auto" w:fill="auto"/>
          </w:tcPr>
          <w:p w:rsidR="00C639E1" w:rsidRDefault="006843CC" w:rsidP="00C639E1">
            <w:pPr>
              <w:pStyle w:val="TableText"/>
              <w:spacing w:before="0" w:after="0"/>
              <w:jc w:val="center"/>
              <w:rPr>
                <w:rFonts w:cs="Segoe UI"/>
                <w:sz w:val="20"/>
                <w:lang w:eastAsia="en-GB"/>
              </w:rPr>
            </w:pPr>
            <w:r w:rsidRPr="003936F9">
              <w:rPr>
                <w:rFonts w:cs="Segoe UI" w:hint="eastAsia"/>
                <w:noProof/>
                <w:sz w:val="20"/>
                <w:lang w:eastAsia="en-GB"/>
              </w:rPr>
              <w:t>L</w:t>
            </w:r>
            <w:r>
              <w:rPr>
                <w:rFonts w:cs="Segoe UI"/>
                <w:noProof/>
                <w:sz w:val="20"/>
                <w:lang w:eastAsia="en-GB"/>
              </w:rPr>
              <w:t xml:space="preserve"> </w:t>
            </w:r>
            <w:r>
              <w:rPr>
                <w:rFonts w:asciiTheme="minorEastAsia" w:eastAsiaTheme="minorEastAsia" w:hAnsiTheme="minorEastAsia" w:cs="Segoe UI" w:hint="eastAsia"/>
                <w:noProof/>
                <w:sz w:val="20"/>
                <w:lang w:eastAsia="zh-TW"/>
              </w:rPr>
              <w:t>[</w:t>
            </w:r>
            <w:r w:rsidR="00C639E1">
              <w:rPr>
                <w:rFonts w:cs="Segoe UI"/>
                <w:sz w:val="20"/>
                <w:lang w:eastAsia="en-GB"/>
              </w:rPr>
              <w:t>IMM</w:t>
            </w:r>
            <w:r>
              <w:rPr>
                <w:rFonts w:asciiTheme="minorEastAsia" w:eastAsiaTheme="minorEastAsia" w:hAnsiTheme="minorEastAsia" w:cs="Segoe UI" w:hint="eastAsia"/>
                <w:sz w:val="20"/>
                <w:lang w:eastAsia="zh-TW"/>
              </w:rPr>
              <w:t>]</w:t>
            </w:r>
          </w:p>
        </w:tc>
        <w:tc>
          <w:tcPr>
            <w:tcW w:w="1244" w:type="dxa"/>
            <w:tcBorders>
              <w:left w:val="single" w:sz="12" w:space="0" w:color="auto"/>
              <w:bottom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134" w:type="dxa"/>
            <w:tcBorders>
              <w:bottom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r>
              <w:rPr>
                <w:rFonts w:cs="Segoe UI"/>
                <w:sz w:val="20"/>
                <w:lang w:eastAsia="en-GB"/>
              </w:rPr>
              <w:sym w:font="Wingdings 2" w:char="F050"/>
            </w:r>
          </w:p>
        </w:tc>
        <w:tc>
          <w:tcPr>
            <w:tcW w:w="1134" w:type="dxa"/>
            <w:tcBorders>
              <w:left w:val="single" w:sz="12" w:space="0" w:color="auto"/>
              <w:bottom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p>
        </w:tc>
        <w:tc>
          <w:tcPr>
            <w:tcW w:w="1276" w:type="dxa"/>
            <w:tcBorders>
              <w:bottom w:val="single" w:sz="12" w:space="0" w:color="auto"/>
            </w:tcBorders>
            <w:shd w:val="clear" w:color="auto" w:fill="auto"/>
          </w:tcPr>
          <w:p w:rsidR="00C639E1" w:rsidRDefault="00C639E1" w:rsidP="00C639E1">
            <w:pPr>
              <w:pStyle w:val="TableText"/>
              <w:spacing w:before="0" w:after="0"/>
              <w:jc w:val="center"/>
              <w:rPr>
                <w:rFonts w:cs="Segoe UI"/>
                <w:sz w:val="20"/>
                <w:lang w:eastAsia="en-GB"/>
              </w:rPr>
            </w:pPr>
            <w:r>
              <w:rPr>
                <w:rFonts w:cs="Segoe UI"/>
                <w:sz w:val="20"/>
                <w:lang w:eastAsia="en-GB"/>
              </w:rPr>
              <w:sym w:font="Wingdings 2" w:char="F050"/>
            </w:r>
          </w:p>
        </w:tc>
        <w:tc>
          <w:tcPr>
            <w:tcW w:w="1101" w:type="dxa"/>
            <w:tcBorders>
              <w:bottom w:val="single" w:sz="12" w:space="0" w:color="auto"/>
              <w:right w:val="single" w:sz="12" w:space="0" w:color="auto"/>
            </w:tcBorders>
            <w:shd w:val="clear" w:color="auto" w:fill="auto"/>
          </w:tcPr>
          <w:p w:rsidR="00C639E1" w:rsidRDefault="00C639E1" w:rsidP="00C639E1">
            <w:pPr>
              <w:pStyle w:val="TableText"/>
              <w:spacing w:before="0" w:after="0"/>
              <w:jc w:val="center"/>
              <w:rPr>
                <w:rFonts w:cs="Segoe UI"/>
                <w:noProof/>
                <w:sz w:val="20"/>
                <w:lang w:eastAsia="en-GB"/>
              </w:rPr>
            </w:pPr>
          </w:p>
        </w:tc>
      </w:tr>
      <w:tr w:rsidR="00CE1D6C" w:rsidTr="009A68E3">
        <w:trPr>
          <w:cantSplit/>
          <w:trHeight w:val="283"/>
        </w:trPr>
        <w:tc>
          <w:tcPr>
            <w:tcW w:w="1843" w:type="dxa"/>
            <w:vMerge w:val="restart"/>
            <w:tcBorders>
              <w:top w:val="single" w:sz="12" w:space="0" w:color="auto"/>
              <w:left w:val="nil"/>
              <w:right w:val="single" w:sz="12" w:space="0" w:color="auto"/>
            </w:tcBorders>
          </w:tcPr>
          <w:p w:rsidR="00CE1D6C" w:rsidRPr="007B3828" w:rsidRDefault="00CE1D6C" w:rsidP="00CE1D6C">
            <w:pPr>
              <w:pStyle w:val="TableText"/>
              <w:spacing w:before="0" w:after="0"/>
              <w:rPr>
                <w:rFonts w:cs="Segoe UI"/>
                <w:sz w:val="20"/>
                <w:lang w:eastAsia="en-GB"/>
              </w:rPr>
            </w:pPr>
            <w:r w:rsidRPr="007B3828">
              <w:rPr>
                <w:rFonts w:cs="Segoe UI"/>
                <w:sz w:val="20"/>
                <w:lang w:eastAsia="en-GB"/>
              </w:rPr>
              <w:t>Part VII : Interest rate risk in banking book</w:t>
            </w:r>
          </w:p>
        </w:tc>
        <w:tc>
          <w:tcPr>
            <w:tcW w:w="4111" w:type="dxa"/>
            <w:tcBorders>
              <w:top w:val="single" w:sz="12" w:space="0" w:color="auto"/>
              <w:left w:val="single" w:sz="12" w:space="0" w:color="auto"/>
              <w:right w:val="single" w:sz="12" w:space="0" w:color="auto"/>
            </w:tcBorders>
            <w:shd w:val="clear" w:color="auto" w:fill="auto"/>
          </w:tcPr>
          <w:p w:rsidR="00CE1D6C" w:rsidRPr="00F914B1" w:rsidRDefault="00CE1D6C" w:rsidP="007136E5">
            <w:pPr>
              <w:pStyle w:val="TableText"/>
              <w:spacing w:before="0" w:after="0"/>
              <w:rPr>
                <w:rFonts w:cs="Segoe UI"/>
                <w:noProof/>
                <w:sz w:val="20"/>
                <w:lang w:eastAsia="en-GB"/>
              </w:rPr>
            </w:pPr>
            <w:r w:rsidRPr="005F0AA2">
              <w:rPr>
                <w:rFonts w:cs="Segoe UI"/>
                <w:noProof/>
                <w:sz w:val="20"/>
                <w:lang w:eastAsia="en-GB"/>
              </w:rPr>
              <w:t xml:space="preserve">Table IRRBB: Interest rate exposures in banking book </w:t>
            </w:r>
            <w:r>
              <w:rPr>
                <w:rFonts w:cs="Segoe UI"/>
                <w:noProof/>
                <w:sz w:val="20"/>
                <w:lang w:eastAsia="en-GB"/>
              </w:rPr>
              <w:t>(</w:t>
            </w:r>
            <w:r w:rsidRPr="005F0AA2">
              <w:rPr>
                <w:rFonts w:cs="Segoe UI"/>
                <w:noProof/>
                <w:sz w:val="20"/>
                <w:lang w:eastAsia="en-GB"/>
              </w:rPr>
              <w:t>related to financial year end before 30 June 2019</w:t>
            </w:r>
            <w:r>
              <w:rPr>
                <w:rFonts w:cs="Segoe UI"/>
                <w:noProof/>
                <w:sz w:val="20"/>
                <w:lang w:eastAsia="en-GB"/>
              </w:rPr>
              <w:t>)</w:t>
            </w:r>
          </w:p>
        </w:tc>
        <w:tc>
          <w:tcPr>
            <w:tcW w:w="992" w:type="dxa"/>
            <w:tcBorders>
              <w:top w:val="single" w:sz="12" w:space="0" w:color="auto"/>
              <w:left w:val="single" w:sz="12" w:space="0" w:color="auto"/>
              <w:right w:val="single" w:sz="12" w:space="0" w:color="auto"/>
            </w:tcBorders>
          </w:tcPr>
          <w:p w:rsidR="00CE1D6C" w:rsidRDefault="00CE1D6C" w:rsidP="00C639E1">
            <w:pPr>
              <w:jc w:val="center"/>
            </w:pPr>
            <w:r w:rsidRPr="002B3F1B">
              <w:rPr>
                <w:rFonts w:cs="Segoe UI"/>
                <w:lang w:eastAsia="en-GB"/>
              </w:rPr>
              <w:t>II</w:t>
            </w:r>
          </w:p>
        </w:tc>
        <w:tc>
          <w:tcPr>
            <w:tcW w:w="1624" w:type="dxa"/>
            <w:tcBorders>
              <w:top w:val="single" w:sz="12" w:space="0" w:color="auto"/>
              <w:left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top w:val="single" w:sz="12" w:space="0" w:color="auto"/>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34" w:type="dxa"/>
            <w:tcBorders>
              <w:top w:val="single" w:sz="12" w:space="0" w:color="auto"/>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top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CE1D6C" w:rsidTr="00CE1D6C">
        <w:trPr>
          <w:cantSplit/>
          <w:trHeight w:val="283"/>
        </w:trPr>
        <w:tc>
          <w:tcPr>
            <w:tcW w:w="1843" w:type="dxa"/>
            <w:vMerge/>
            <w:tcBorders>
              <w:left w:val="nil"/>
              <w:right w:val="single" w:sz="12" w:space="0" w:color="auto"/>
            </w:tcBorders>
          </w:tcPr>
          <w:p w:rsidR="00CE1D6C" w:rsidRPr="007B3828" w:rsidRDefault="00CE1D6C" w:rsidP="007136E5">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E1D6C" w:rsidRPr="00F914B1" w:rsidRDefault="00CE1D6C" w:rsidP="007136E5">
            <w:pPr>
              <w:pStyle w:val="TableText"/>
              <w:spacing w:before="0" w:after="0"/>
              <w:rPr>
                <w:rFonts w:cs="Segoe UI"/>
                <w:noProof/>
                <w:sz w:val="20"/>
                <w:lang w:eastAsia="en-GB"/>
              </w:rPr>
            </w:pPr>
            <w:r w:rsidRPr="00F914B1">
              <w:rPr>
                <w:rFonts w:cs="Segoe UI"/>
                <w:sz w:val="20"/>
                <w:lang w:eastAsia="en-GB"/>
              </w:rPr>
              <w:t>Table</w:t>
            </w:r>
            <w:r>
              <w:rPr>
                <w:rFonts w:cs="Segoe UI"/>
                <w:sz w:val="20"/>
                <w:lang w:eastAsia="en-GB"/>
              </w:rPr>
              <w:t xml:space="preserve"> </w:t>
            </w:r>
            <w:r w:rsidRPr="001E177B">
              <w:rPr>
                <w:rFonts w:cs="Segoe UI"/>
                <w:sz w:val="20"/>
                <w:lang w:eastAsia="en-GB"/>
              </w:rPr>
              <w:t>IRRBBA</w:t>
            </w:r>
            <w:r>
              <w:rPr>
                <w:rFonts w:cs="Segoe UI"/>
                <w:sz w:val="20"/>
                <w:lang w:eastAsia="en-GB"/>
              </w:rPr>
              <w:t xml:space="preserve">: Interest rate risk in </w:t>
            </w:r>
            <w:r w:rsidRPr="00F9056F">
              <w:rPr>
                <w:rFonts w:cs="Segoe UI"/>
                <w:sz w:val="20"/>
                <w:lang w:eastAsia="en-GB"/>
              </w:rPr>
              <w:t>banking book – risk management objectives and policies</w:t>
            </w:r>
          </w:p>
        </w:tc>
        <w:tc>
          <w:tcPr>
            <w:tcW w:w="992" w:type="dxa"/>
            <w:tcBorders>
              <w:left w:val="single" w:sz="12" w:space="0" w:color="auto"/>
              <w:right w:val="single" w:sz="12" w:space="0" w:color="auto"/>
            </w:tcBorders>
          </w:tcPr>
          <w:p w:rsidR="00CE1D6C" w:rsidRDefault="00CE1D6C" w:rsidP="00C639E1">
            <w:pPr>
              <w:jc w:val="center"/>
            </w:pPr>
            <w:r w:rsidRPr="002B3F1B">
              <w:rPr>
                <w:rFonts w:cs="Segoe UI"/>
                <w:lang w:eastAsia="en-GB"/>
              </w:rPr>
              <w:t>II</w:t>
            </w:r>
          </w:p>
        </w:tc>
        <w:tc>
          <w:tcPr>
            <w:tcW w:w="1624" w:type="dxa"/>
            <w:tcBorders>
              <w:left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c>
          <w:tcPr>
            <w:tcW w:w="1134" w:type="dxa"/>
            <w:tcBorders>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r w:rsidRPr="00F914B1">
              <w:rPr>
                <w:rFonts w:cs="Segoe UI"/>
                <w:sz w:val="20"/>
                <w:lang w:eastAsia="en-GB"/>
              </w:rPr>
              <w:sym w:font="Wingdings 2" w:char="F050"/>
            </w:r>
          </w:p>
        </w:tc>
      </w:tr>
      <w:tr w:rsidR="00CE1D6C" w:rsidTr="009A68E3">
        <w:trPr>
          <w:cantSplit/>
          <w:trHeight w:val="283"/>
        </w:trPr>
        <w:tc>
          <w:tcPr>
            <w:tcW w:w="1843" w:type="dxa"/>
            <w:vMerge/>
            <w:tcBorders>
              <w:left w:val="nil"/>
              <w:bottom w:val="single" w:sz="12" w:space="0" w:color="auto"/>
              <w:right w:val="single" w:sz="12" w:space="0" w:color="auto"/>
            </w:tcBorders>
          </w:tcPr>
          <w:p w:rsidR="00CE1D6C" w:rsidRPr="007B3828" w:rsidRDefault="00CE1D6C" w:rsidP="007136E5">
            <w:pPr>
              <w:pStyle w:val="TableText"/>
              <w:spacing w:before="0" w:after="0"/>
              <w:rPr>
                <w:rFonts w:cs="Segoe UI"/>
                <w:sz w:val="20"/>
                <w:lang w:eastAsia="en-GB"/>
              </w:rPr>
            </w:pPr>
          </w:p>
        </w:tc>
        <w:tc>
          <w:tcPr>
            <w:tcW w:w="4111" w:type="dxa"/>
            <w:tcBorders>
              <w:left w:val="single" w:sz="12"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rPr>
                <w:rFonts w:cs="Segoe UI"/>
                <w:noProof/>
                <w:sz w:val="20"/>
                <w:lang w:eastAsia="en-GB"/>
              </w:rPr>
            </w:pPr>
            <w:r w:rsidRPr="00F914B1">
              <w:rPr>
                <w:rFonts w:cs="Segoe UI"/>
                <w:sz w:val="20"/>
                <w:lang w:eastAsia="en-GB"/>
              </w:rPr>
              <w:t xml:space="preserve">Template </w:t>
            </w:r>
            <w:r w:rsidRPr="001E177B">
              <w:rPr>
                <w:rFonts w:cs="Segoe UI"/>
                <w:sz w:val="20"/>
                <w:lang w:eastAsia="en-GB"/>
              </w:rPr>
              <w:t>IRRBB1</w:t>
            </w:r>
            <w:r>
              <w:rPr>
                <w:rFonts w:cs="Segoe UI"/>
                <w:sz w:val="20"/>
                <w:lang w:eastAsia="en-GB"/>
              </w:rPr>
              <w:t>:</w:t>
            </w:r>
            <w:r w:rsidRPr="001E177B">
              <w:rPr>
                <w:rFonts w:cs="Segoe UI"/>
                <w:sz w:val="20"/>
                <w:lang w:eastAsia="en-GB"/>
              </w:rPr>
              <w:t xml:space="preserve"> Quantitative in</w:t>
            </w:r>
            <w:r>
              <w:rPr>
                <w:rFonts w:cs="Segoe UI"/>
                <w:sz w:val="20"/>
                <w:lang w:eastAsia="en-GB"/>
              </w:rPr>
              <w:t xml:space="preserve">formation on interest rate risk in </w:t>
            </w:r>
            <w:r w:rsidRPr="00F9056F">
              <w:rPr>
                <w:rFonts w:cs="Segoe UI"/>
                <w:sz w:val="20"/>
                <w:lang w:eastAsia="en-GB"/>
              </w:rPr>
              <w:t>banking book</w:t>
            </w:r>
          </w:p>
        </w:tc>
        <w:tc>
          <w:tcPr>
            <w:tcW w:w="992" w:type="dxa"/>
            <w:tcBorders>
              <w:left w:val="single" w:sz="12" w:space="0" w:color="auto"/>
              <w:bottom w:val="single" w:sz="12" w:space="0" w:color="auto"/>
              <w:right w:val="single" w:sz="12" w:space="0" w:color="auto"/>
            </w:tcBorders>
          </w:tcPr>
          <w:p w:rsidR="00CE1D6C" w:rsidRDefault="00CE1D6C" w:rsidP="00C639E1">
            <w:pPr>
              <w:jc w:val="center"/>
            </w:pPr>
            <w:r w:rsidRPr="002B3F1B">
              <w:rPr>
                <w:rFonts w:cs="Segoe UI"/>
                <w:lang w:eastAsia="en-GB"/>
              </w:rPr>
              <w:t>II</w:t>
            </w:r>
          </w:p>
        </w:tc>
        <w:tc>
          <w:tcPr>
            <w:tcW w:w="1624" w:type="dxa"/>
            <w:tcBorders>
              <w:left w:val="single" w:sz="12"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34" w:type="dxa"/>
            <w:tcBorders>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noProof/>
                <w:sz w:val="20"/>
                <w:lang w:eastAsia="en-GB"/>
              </w:rPr>
            </w:pPr>
          </w:p>
        </w:tc>
        <w:tc>
          <w:tcPr>
            <w:tcW w:w="1134" w:type="dxa"/>
            <w:tcBorders>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bottom w:val="single" w:sz="12" w:space="0" w:color="auto"/>
              <w:right w:val="single" w:sz="12" w:space="0" w:color="auto"/>
            </w:tcBorders>
            <w:shd w:val="clear" w:color="auto" w:fill="auto"/>
          </w:tcPr>
          <w:p w:rsidR="00CE1D6C"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p w:rsidR="00CE1D6C" w:rsidRPr="00F914B1" w:rsidRDefault="00CE1D6C" w:rsidP="007136E5">
            <w:pPr>
              <w:pStyle w:val="TableText"/>
              <w:spacing w:before="0" w:after="0"/>
              <w:jc w:val="center"/>
              <w:rPr>
                <w:rFonts w:cs="Segoe UI"/>
                <w:noProof/>
                <w:sz w:val="20"/>
                <w:lang w:eastAsia="en-GB"/>
              </w:rPr>
            </w:pPr>
          </w:p>
        </w:tc>
      </w:tr>
      <w:tr w:rsidR="00CE1D6C" w:rsidTr="009A68E3">
        <w:trPr>
          <w:cantSplit/>
          <w:trHeight w:val="283"/>
        </w:trPr>
        <w:tc>
          <w:tcPr>
            <w:tcW w:w="1843" w:type="dxa"/>
            <w:vMerge w:val="restart"/>
            <w:tcBorders>
              <w:top w:val="single" w:sz="12" w:space="0" w:color="auto"/>
              <w:left w:val="nil"/>
              <w:right w:val="single" w:sz="12" w:space="0" w:color="auto"/>
            </w:tcBorders>
          </w:tcPr>
          <w:p w:rsidR="00CE1D6C" w:rsidRPr="007B3828" w:rsidRDefault="00CE1D6C" w:rsidP="007136E5">
            <w:pPr>
              <w:pStyle w:val="TableText"/>
              <w:spacing w:before="0" w:after="0"/>
              <w:rPr>
                <w:rFonts w:cs="Segoe UI"/>
                <w:sz w:val="20"/>
                <w:lang w:eastAsia="en-GB"/>
              </w:rPr>
            </w:pPr>
            <w:r w:rsidRPr="007B3828">
              <w:rPr>
                <w:rFonts w:cs="Segoe UI"/>
                <w:sz w:val="20"/>
                <w:lang w:eastAsia="en-GB"/>
              </w:rPr>
              <w:t>Part VIII : Remuneration</w:t>
            </w:r>
          </w:p>
        </w:tc>
        <w:tc>
          <w:tcPr>
            <w:tcW w:w="4111" w:type="dxa"/>
            <w:tcBorders>
              <w:top w:val="single" w:sz="12" w:space="0" w:color="auto"/>
              <w:left w:val="single" w:sz="12" w:space="0" w:color="auto"/>
              <w:right w:val="single" w:sz="12" w:space="0" w:color="auto"/>
            </w:tcBorders>
            <w:shd w:val="clear" w:color="auto" w:fill="auto"/>
          </w:tcPr>
          <w:p w:rsidR="00CE1D6C" w:rsidRPr="00F914B1" w:rsidRDefault="00CE1D6C" w:rsidP="007136E5">
            <w:pPr>
              <w:pStyle w:val="TableText"/>
              <w:spacing w:before="0" w:after="0"/>
              <w:rPr>
                <w:rFonts w:cs="Segoe UI"/>
                <w:sz w:val="20"/>
                <w:lang w:eastAsia="en-GB"/>
              </w:rPr>
            </w:pPr>
            <w:r>
              <w:rPr>
                <w:rFonts w:cs="Segoe UI"/>
                <w:sz w:val="20"/>
                <w:lang w:eastAsia="en-GB"/>
              </w:rPr>
              <w:t xml:space="preserve">Table </w:t>
            </w:r>
            <w:r w:rsidRPr="00CE45F8">
              <w:rPr>
                <w:rFonts w:cs="Segoe UI"/>
                <w:sz w:val="20"/>
                <w:lang w:eastAsia="en-GB"/>
              </w:rPr>
              <w:t>REMA</w:t>
            </w:r>
            <w:r>
              <w:rPr>
                <w:rFonts w:cs="Segoe UI"/>
                <w:sz w:val="20"/>
                <w:lang w:eastAsia="en-GB"/>
              </w:rPr>
              <w:t>:</w:t>
            </w:r>
            <w:r w:rsidRPr="00CE45F8">
              <w:rPr>
                <w:rFonts w:cs="Segoe UI"/>
                <w:sz w:val="20"/>
                <w:lang w:eastAsia="en-GB"/>
              </w:rPr>
              <w:t xml:space="preserve"> Remuneration policy</w:t>
            </w:r>
          </w:p>
        </w:tc>
        <w:tc>
          <w:tcPr>
            <w:tcW w:w="992" w:type="dxa"/>
            <w:tcBorders>
              <w:top w:val="single" w:sz="12" w:space="0" w:color="auto"/>
              <w:left w:val="single" w:sz="12" w:space="0" w:color="auto"/>
              <w:right w:val="single" w:sz="12" w:space="0" w:color="auto"/>
            </w:tcBorders>
          </w:tcPr>
          <w:p w:rsidR="00CE1D6C" w:rsidRDefault="00CE1D6C" w:rsidP="00C639E1">
            <w:pPr>
              <w:jc w:val="center"/>
            </w:pPr>
            <w:r w:rsidRPr="002B3F1B">
              <w:rPr>
                <w:rFonts w:cs="Segoe UI"/>
                <w:lang w:eastAsia="en-GB"/>
              </w:rPr>
              <w:t>II</w:t>
            </w:r>
          </w:p>
        </w:tc>
        <w:tc>
          <w:tcPr>
            <w:tcW w:w="1624" w:type="dxa"/>
            <w:tcBorders>
              <w:top w:val="single" w:sz="12" w:space="0" w:color="auto"/>
              <w:left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top w:val="single" w:sz="12" w:space="0" w:color="auto"/>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34" w:type="dxa"/>
            <w:tcBorders>
              <w:top w:val="single" w:sz="12" w:space="0" w:color="auto"/>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top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r>
      <w:tr w:rsidR="00CE1D6C" w:rsidTr="00CE1D6C">
        <w:trPr>
          <w:cantSplit/>
          <w:trHeight w:val="283"/>
        </w:trPr>
        <w:tc>
          <w:tcPr>
            <w:tcW w:w="1843" w:type="dxa"/>
            <w:vMerge/>
            <w:tcBorders>
              <w:left w:val="nil"/>
              <w:right w:val="single" w:sz="12" w:space="0" w:color="auto"/>
            </w:tcBorders>
          </w:tcPr>
          <w:p w:rsidR="00CE1D6C" w:rsidRPr="00F914B1" w:rsidRDefault="00CE1D6C" w:rsidP="007136E5">
            <w:pPr>
              <w:pStyle w:val="TableText"/>
              <w:spacing w:before="0" w:after="0"/>
              <w:rPr>
                <w:rFonts w:cs="Segoe UI"/>
                <w:sz w:val="20"/>
                <w:lang w:eastAsia="en-GB"/>
              </w:rPr>
            </w:pPr>
          </w:p>
        </w:tc>
        <w:tc>
          <w:tcPr>
            <w:tcW w:w="4111" w:type="dxa"/>
            <w:tcBorders>
              <w:left w:val="single" w:sz="12" w:space="0" w:color="auto"/>
              <w:right w:val="single" w:sz="12" w:space="0" w:color="auto"/>
            </w:tcBorders>
            <w:shd w:val="clear" w:color="auto" w:fill="auto"/>
          </w:tcPr>
          <w:p w:rsidR="00CE1D6C" w:rsidRPr="00F914B1" w:rsidRDefault="00CE1D6C" w:rsidP="007136E5">
            <w:pPr>
              <w:pStyle w:val="TableText"/>
              <w:spacing w:before="0" w:after="0"/>
              <w:rPr>
                <w:rFonts w:cs="Segoe UI"/>
                <w:sz w:val="20"/>
                <w:lang w:eastAsia="en-GB"/>
              </w:rPr>
            </w:pPr>
            <w:r>
              <w:rPr>
                <w:rFonts w:cs="Segoe UI"/>
                <w:sz w:val="20"/>
                <w:lang w:eastAsia="en-GB"/>
              </w:rPr>
              <w:t xml:space="preserve">Template </w:t>
            </w:r>
            <w:r w:rsidRPr="00CE45F8">
              <w:rPr>
                <w:rFonts w:cs="Segoe UI"/>
                <w:sz w:val="20"/>
                <w:lang w:eastAsia="en-GB"/>
              </w:rPr>
              <w:t>REM1</w:t>
            </w:r>
            <w:r>
              <w:rPr>
                <w:rFonts w:cs="Segoe UI"/>
                <w:sz w:val="20"/>
                <w:lang w:eastAsia="en-GB"/>
              </w:rPr>
              <w:t>:</w:t>
            </w:r>
            <w:r w:rsidRPr="00CE45F8">
              <w:rPr>
                <w:rFonts w:cs="Segoe UI"/>
                <w:sz w:val="20"/>
                <w:lang w:eastAsia="en-GB"/>
              </w:rPr>
              <w:t xml:space="preserve"> </w:t>
            </w:r>
            <w:r>
              <w:rPr>
                <w:rFonts w:cs="Segoe UI"/>
                <w:sz w:val="20"/>
                <w:lang w:eastAsia="en-GB"/>
              </w:rPr>
              <w:t xml:space="preserve">Remuneration awarded during </w:t>
            </w:r>
            <w:r w:rsidRPr="00CE45F8">
              <w:rPr>
                <w:rFonts w:cs="Segoe UI"/>
                <w:sz w:val="20"/>
                <w:lang w:eastAsia="en-GB"/>
              </w:rPr>
              <w:t>financial year</w:t>
            </w:r>
          </w:p>
        </w:tc>
        <w:tc>
          <w:tcPr>
            <w:tcW w:w="992" w:type="dxa"/>
            <w:tcBorders>
              <w:left w:val="single" w:sz="12" w:space="0" w:color="auto"/>
              <w:right w:val="single" w:sz="12" w:space="0" w:color="auto"/>
            </w:tcBorders>
          </w:tcPr>
          <w:p w:rsidR="00CE1D6C" w:rsidRDefault="00CE1D6C" w:rsidP="00C639E1">
            <w:pPr>
              <w:jc w:val="center"/>
            </w:pPr>
            <w:r w:rsidRPr="002B3F1B">
              <w:rPr>
                <w:rFonts w:cs="Segoe UI"/>
                <w:lang w:eastAsia="en-GB"/>
              </w:rPr>
              <w:t>II</w:t>
            </w:r>
          </w:p>
        </w:tc>
        <w:tc>
          <w:tcPr>
            <w:tcW w:w="1624" w:type="dxa"/>
            <w:tcBorders>
              <w:left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34" w:type="dxa"/>
            <w:tcBorders>
              <w:lef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r>
      <w:tr w:rsidR="00CE1D6C" w:rsidTr="009A68E3">
        <w:trPr>
          <w:cantSplit/>
          <w:trHeight w:val="283"/>
        </w:trPr>
        <w:tc>
          <w:tcPr>
            <w:tcW w:w="1843" w:type="dxa"/>
            <w:vMerge/>
            <w:tcBorders>
              <w:left w:val="nil"/>
              <w:right w:val="single" w:sz="12" w:space="0" w:color="auto"/>
            </w:tcBorders>
          </w:tcPr>
          <w:p w:rsidR="00CE1D6C" w:rsidRPr="00F914B1" w:rsidRDefault="00CE1D6C" w:rsidP="007136E5">
            <w:pPr>
              <w:pStyle w:val="TableText"/>
              <w:spacing w:before="0" w:after="0"/>
              <w:rPr>
                <w:rFonts w:cs="Segoe UI"/>
                <w:sz w:val="20"/>
                <w:lang w:eastAsia="en-GB"/>
              </w:rPr>
            </w:pPr>
          </w:p>
        </w:tc>
        <w:tc>
          <w:tcPr>
            <w:tcW w:w="4111" w:type="dxa"/>
            <w:tcBorders>
              <w:left w:val="single" w:sz="12" w:space="0" w:color="auto"/>
              <w:bottom w:val="single" w:sz="2" w:space="0" w:color="auto"/>
              <w:right w:val="single" w:sz="12" w:space="0" w:color="auto"/>
            </w:tcBorders>
            <w:shd w:val="clear" w:color="auto" w:fill="auto"/>
          </w:tcPr>
          <w:p w:rsidR="00CE1D6C" w:rsidRPr="00F914B1" w:rsidRDefault="00CE1D6C" w:rsidP="007136E5">
            <w:pPr>
              <w:pStyle w:val="TableText"/>
              <w:spacing w:before="0" w:after="0"/>
              <w:rPr>
                <w:rFonts w:cs="Segoe UI"/>
                <w:sz w:val="20"/>
                <w:lang w:eastAsia="en-GB"/>
              </w:rPr>
            </w:pPr>
            <w:r>
              <w:rPr>
                <w:rFonts w:cs="Segoe UI"/>
                <w:sz w:val="20"/>
                <w:lang w:eastAsia="en-GB"/>
              </w:rPr>
              <w:t xml:space="preserve">Template </w:t>
            </w:r>
            <w:r w:rsidRPr="00CE45F8">
              <w:rPr>
                <w:rFonts w:cs="Segoe UI"/>
                <w:sz w:val="20"/>
                <w:lang w:eastAsia="en-GB"/>
              </w:rPr>
              <w:t>REM2</w:t>
            </w:r>
            <w:r>
              <w:rPr>
                <w:rFonts w:cs="Segoe UI"/>
                <w:sz w:val="20"/>
                <w:lang w:eastAsia="en-GB"/>
              </w:rPr>
              <w:t>:</w:t>
            </w:r>
            <w:r w:rsidRPr="00CE45F8">
              <w:rPr>
                <w:rFonts w:cs="Segoe UI"/>
                <w:sz w:val="20"/>
                <w:lang w:eastAsia="en-GB"/>
              </w:rPr>
              <w:t xml:space="preserve"> Special payments</w:t>
            </w:r>
          </w:p>
        </w:tc>
        <w:tc>
          <w:tcPr>
            <w:tcW w:w="992" w:type="dxa"/>
            <w:tcBorders>
              <w:left w:val="single" w:sz="12" w:space="0" w:color="auto"/>
              <w:bottom w:val="single" w:sz="2" w:space="0" w:color="auto"/>
              <w:right w:val="single" w:sz="12" w:space="0" w:color="auto"/>
            </w:tcBorders>
          </w:tcPr>
          <w:p w:rsidR="00CE1D6C" w:rsidRDefault="00CE1D6C" w:rsidP="00C639E1">
            <w:pPr>
              <w:jc w:val="center"/>
            </w:pPr>
            <w:r w:rsidRPr="00284EC7">
              <w:rPr>
                <w:rFonts w:cs="Segoe UI"/>
                <w:lang w:eastAsia="en-GB"/>
              </w:rPr>
              <w:t>II</w:t>
            </w:r>
          </w:p>
        </w:tc>
        <w:tc>
          <w:tcPr>
            <w:tcW w:w="1624" w:type="dxa"/>
            <w:tcBorders>
              <w:left w:val="single" w:sz="12" w:space="0" w:color="auto"/>
              <w:bottom w:val="single" w:sz="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left w:val="single" w:sz="12" w:space="0" w:color="auto"/>
              <w:bottom w:val="single" w:sz="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bottom w:val="single" w:sz="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34" w:type="dxa"/>
            <w:tcBorders>
              <w:left w:val="single" w:sz="12" w:space="0" w:color="auto"/>
              <w:bottom w:val="single" w:sz="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bottom w:val="single" w:sz="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bottom w:val="single" w:sz="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r>
      <w:tr w:rsidR="00CE1D6C" w:rsidTr="009A68E3">
        <w:trPr>
          <w:cantSplit/>
          <w:trHeight w:val="283"/>
        </w:trPr>
        <w:tc>
          <w:tcPr>
            <w:tcW w:w="1843" w:type="dxa"/>
            <w:vMerge/>
            <w:tcBorders>
              <w:left w:val="nil"/>
              <w:bottom w:val="single" w:sz="12" w:space="0" w:color="auto"/>
              <w:right w:val="single" w:sz="12" w:space="0" w:color="auto"/>
            </w:tcBorders>
          </w:tcPr>
          <w:p w:rsidR="00CE1D6C" w:rsidRPr="00F914B1" w:rsidRDefault="00CE1D6C" w:rsidP="007136E5">
            <w:pPr>
              <w:pStyle w:val="TableText"/>
              <w:spacing w:before="0" w:after="0"/>
              <w:rPr>
                <w:rFonts w:cs="Segoe UI"/>
                <w:sz w:val="20"/>
                <w:lang w:eastAsia="en-GB"/>
              </w:rPr>
            </w:pPr>
          </w:p>
        </w:tc>
        <w:tc>
          <w:tcPr>
            <w:tcW w:w="4111" w:type="dxa"/>
            <w:tcBorders>
              <w:top w:val="single" w:sz="2" w:space="0" w:color="auto"/>
              <w:left w:val="single" w:sz="12" w:space="0" w:color="auto"/>
              <w:bottom w:val="single" w:sz="12" w:space="0" w:color="auto"/>
              <w:right w:val="single" w:sz="12" w:space="0" w:color="auto"/>
            </w:tcBorders>
            <w:shd w:val="clear" w:color="auto" w:fill="auto"/>
          </w:tcPr>
          <w:p w:rsidR="00CE1D6C" w:rsidRDefault="00CE1D6C" w:rsidP="007136E5">
            <w:pPr>
              <w:pStyle w:val="TableText"/>
              <w:spacing w:before="0" w:after="0"/>
              <w:rPr>
                <w:rFonts w:cs="Segoe UI"/>
                <w:sz w:val="20"/>
                <w:lang w:eastAsia="en-GB"/>
              </w:rPr>
            </w:pPr>
            <w:r>
              <w:rPr>
                <w:rFonts w:cs="Segoe UI"/>
                <w:sz w:val="20"/>
                <w:lang w:eastAsia="en-GB"/>
              </w:rPr>
              <w:t xml:space="preserve">Template REM3: </w:t>
            </w:r>
            <w:r w:rsidRPr="004421BD">
              <w:rPr>
                <w:rFonts w:cs="Segoe UI"/>
                <w:sz w:val="20"/>
                <w:lang w:eastAsia="en-GB"/>
              </w:rPr>
              <w:t>Deferred remuneration</w:t>
            </w:r>
          </w:p>
        </w:tc>
        <w:tc>
          <w:tcPr>
            <w:tcW w:w="992" w:type="dxa"/>
            <w:tcBorders>
              <w:top w:val="single" w:sz="2" w:space="0" w:color="auto"/>
              <w:left w:val="single" w:sz="12" w:space="0" w:color="auto"/>
              <w:bottom w:val="single" w:sz="12" w:space="0" w:color="auto"/>
              <w:right w:val="single" w:sz="12" w:space="0" w:color="auto"/>
            </w:tcBorders>
          </w:tcPr>
          <w:p w:rsidR="00CE1D6C" w:rsidRDefault="00CE1D6C" w:rsidP="00C639E1">
            <w:pPr>
              <w:jc w:val="center"/>
            </w:pPr>
            <w:r w:rsidRPr="00284EC7">
              <w:rPr>
                <w:rFonts w:cs="Segoe UI"/>
                <w:lang w:eastAsia="en-GB"/>
              </w:rPr>
              <w:t>II</w:t>
            </w:r>
          </w:p>
        </w:tc>
        <w:tc>
          <w:tcPr>
            <w:tcW w:w="1624" w:type="dxa"/>
            <w:tcBorders>
              <w:top w:val="single" w:sz="2" w:space="0" w:color="auto"/>
              <w:left w:val="single" w:sz="12"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Pr>
                <w:rFonts w:cs="Segoe UI"/>
                <w:sz w:val="20"/>
                <w:lang w:eastAsia="en-GB"/>
              </w:rPr>
              <w:t>L</w:t>
            </w:r>
          </w:p>
        </w:tc>
        <w:tc>
          <w:tcPr>
            <w:tcW w:w="1244" w:type="dxa"/>
            <w:tcBorders>
              <w:top w:val="single" w:sz="2" w:space="0" w:color="auto"/>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34" w:type="dxa"/>
            <w:tcBorders>
              <w:top w:val="single" w:sz="2"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c>
          <w:tcPr>
            <w:tcW w:w="1134" w:type="dxa"/>
            <w:tcBorders>
              <w:top w:val="single" w:sz="2" w:space="0" w:color="auto"/>
              <w:left w:val="single" w:sz="1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276" w:type="dxa"/>
            <w:tcBorders>
              <w:top w:val="single" w:sz="2" w:space="0" w:color="auto"/>
              <w:bottom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p>
        </w:tc>
        <w:tc>
          <w:tcPr>
            <w:tcW w:w="1101" w:type="dxa"/>
            <w:tcBorders>
              <w:top w:val="single" w:sz="2" w:space="0" w:color="auto"/>
              <w:bottom w:val="single" w:sz="12" w:space="0" w:color="auto"/>
              <w:right w:val="single" w:sz="12" w:space="0" w:color="auto"/>
            </w:tcBorders>
            <w:shd w:val="clear" w:color="auto" w:fill="auto"/>
          </w:tcPr>
          <w:p w:rsidR="00CE1D6C" w:rsidRPr="00F914B1" w:rsidRDefault="00CE1D6C" w:rsidP="007136E5">
            <w:pPr>
              <w:pStyle w:val="TableText"/>
              <w:spacing w:before="0" w:after="0"/>
              <w:jc w:val="center"/>
              <w:rPr>
                <w:rFonts w:cs="Segoe UI"/>
                <w:sz w:val="20"/>
                <w:lang w:eastAsia="en-GB"/>
              </w:rPr>
            </w:pPr>
            <w:r w:rsidRPr="00F914B1">
              <w:rPr>
                <w:rFonts w:cs="Segoe UI"/>
                <w:sz w:val="20"/>
                <w:lang w:eastAsia="en-GB"/>
              </w:rPr>
              <w:sym w:font="Wingdings 2" w:char="F050"/>
            </w:r>
          </w:p>
        </w:tc>
      </w:tr>
      <w:bookmarkEnd w:id="0"/>
    </w:tbl>
    <w:p w:rsidR="00CE1D6C" w:rsidRDefault="00CE1D6C" w:rsidP="00A132E4">
      <w:pPr>
        <w:jc w:val="both"/>
        <w:rPr>
          <w:rFonts w:cs="Segoe UI"/>
        </w:rPr>
      </w:pPr>
    </w:p>
    <w:p w:rsidR="000665DA" w:rsidRDefault="000665DA" w:rsidP="00A132E4">
      <w:pPr>
        <w:jc w:val="both"/>
        <w:rPr>
          <w:rFonts w:cs="Segoe UI"/>
        </w:rPr>
      </w:pPr>
    </w:p>
    <w:p w:rsidR="0039707A" w:rsidRDefault="0039707A">
      <w:pPr>
        <w:spacing w:before="120" w:after="120"/>
        <w:rPr>
          <w:sz w:val="22"/>
        </w:rPr>
        <w:sectPr w:rsidR="0039707A" w:rsidSect="005A561D">
          <w:footerReference w:type="default" r:id="rId8"/>
          <w:pgSz w:w="16838" w:h="11906" w:orient="landscape" w:code="9"/>
          <w:pgMar w:top="993" w:right="1440" w:bottom="1797" w:left="1440" w:header="851" w:footer="737" w:gutter="0"/>
          <w:cols w:space="425"/>
          <w:docGrid w:type="lines" w:linePitch="360"/>
        </w:sectPr>
      </w:pPr>
    </w:p>
    <w:p w:rsidR="002A0515" w:rsidRPr="004803F9" w:rsidRDefault="002A0515" w:rsidP="002A0515">
      <w:pPr>
        <w:pStyle w:val="Heading1"/>
        <w:tabs>
          <w:tab w:val="clear" w:pos="794"/>
          <w:tab w:val="left" w:pos="567"/>
        </w:tabs>
        <w:spacing w:before="0"/>
        <w:ind w:leftChars="-283" w:left="-426" w:hangingChars="50" w:hanging="140"/>
        <w:rPr>
          <w:rFonts w:cs="Segoe UI"/>
          <w:szCs w:val="28"/>
        </w:rPr>
      </w:pPr>
      <w:r w:rsidRPr="004803F9">
        <w:rPr>
          <w:rFonts w:cs="Segoe UI"/>
          <w:szCs w:val="28"/>
        </w:rPr>
        <w:t>Part I: Key prudential ratios, overview of risk management and RWA</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2A0515" w:rsidRPr="004E457E" w:rsidTr="00A54BE4">
        <w:tc>
          <w:tcPr>
            <w:tcW w:w="9242" w:type="dxa"/>
            <w:gridSpan w:val="2"/>
            <w:tcBorders>
              <w:top w:val="nil"/>
            </w:tcBorders>
          </w:tcPr>
          <w:p w:rsidR="002A0515" w:rsidRPr="004E457E" w:rsidRDefault="002A0515" w:rsidP="00A54BE4">
            <w:pPr>
              <w:spacing w:before="40" w:after="40"/>
              <w:rPr>
                <w:noProof/>
                <w:sz w:val="17"/>
                <w:lang w:eastAsia="en-GB"/>
              </w:rPr>
            </w:pPr>
            <w:r w:rsidRPr="004E457E">
              <w:rPr>
                <w:sz w:val="22"/>
              </w:rPr>
              <w:t>Template OV1: Overview of RWA</w:t>
            </w:r>
          </w:p>
        </w:tc>
      </w:tr>
      <w:tr w:rsidR="002A0515" w:rsidRPr="004E457E" w:rsidTr="00A54BE4">
        <w:tc>
          <w:tcPr>
            <w:tcW w:w="2127" w:type="dxa"/>
          </w:tcPr>
          <w:p w:rsidR="002A0515" w:rsidRPr="004E457E" w:rsidRDefault="002A0515" w:rsidP="00A54BE4">
            <w:pPr>
              <w:spacing w:before="40" w:after="40"/>
              <w:rPr>
                <w:noProof/>
                <w:sz w:val="17"/>
                <w:lang w:eastAsia="en-GB"/>
              </w:rPr>
            </w:pPr>
            <w:r w:rsidRPr="004E457E">
              <w:rPr>
                <w:b/>
                <w:sz w:val="17"/>
                <w:lang w:eastAsia="en-GB"/>
              </w:rPr>
              <w:t>Purpose:</w:t>
            </w:r>
            <w:r w:rsidRPr="004E457E">
              <w:rPr>
                <w:sz w:val="17"/>
                <w:lang w:eastAsia="en-GB"/>
              </w:rPr>
              <w:t xml:space="preserve"> </w:t>
            </w:r>
          </w:p>
        </w:tc>
        <w:tc>
          <w:tcPr>
            <w:tcW w:w="7115" w:type="dxa"/>
          </w:tcPr>
          <w:p w:rsidR="002A0515" w:rsidRPr="004E457E" w:rsidRDefault="002A0515" w:rsidP="00A54BE4">
            <w:pPr>
              <w:spacing w:before="40" w:after="40"/>
              <w:jc w:val="both"/>
              <w:rPr>
                <w:rFonts w:eastAsia="新細明體"/>
                <w:noProof/>
                <w:sz w:val="17"/>
                <w:lang w:eastAsia="en-GB"/>
              </w:rPr>
            </w:pPr>
            <w:r w:rsidRPr="004E457E">
              <w:rPr>
                <w:rFonts w:eastAsia="新細明體"/>
                <w:sz w:val="17"/>
                <w:lang w:eastAsia="en-GB"/>
              </w:rPr>
              <w:t>To provide an overview of capital requirements in terms of a detailed breakdowns of RWAs for various risks.</w:t>
            </w:r>
          </w:p>
        </w:tc>
      </w:tr>
      <w:tr w:rsidR="002A0515" w:rsidRPr="004E457E" w:rsidTr="00A54BE4">
        <w:tc>
          <w:tcPr>
            <w:tcW w:w="2127" w:type="dxa"/>
          </w:tcPr>
          <w:p w:rsidR="002A0515" w:rsidRPr="004E457E" w:rsidRDefault="002A0515" w:rsidP="00A54BE4">
            <w:pPr>
              <w:spacing w:before="40" w:after="40"/>
              <w:rPr>
                <w:b/>
                <w:sz w:val="17"/>
                <w:lang w:eastAsia="en-GB"/>
              </w:rPr>
            </w:pPr>
            <w:r w:rsidRPr="004E457E">
              <w:rPr>
                <w:b/>
                <w:sz w:val="17"/>
                <w:lang w:eastAsia="en-GB"/>
              </w:rPr>
              <w:t xml:space="preserve">Scope of application: </w:t>
            </w:r>
          </w:p>
        </w:tc>
        <w:tc>
          <w:tcPr>
            <w:tcW w:w="7115" w:type="dxa"/>
          </w:tcPr>
          <w:p w:rsidR="002A0515" w:rsidRPr="004E457E" w:rsidRDefault="002A0515" w:rsidP="00A54BE4">
            <w:pPr>
              <w:spacing w:before="40" w:after="40"/>
              <w:jc w:val="both"/>
              <w:rPr>
                <w:rFonts w:eastAsia="新細明體"/>
                <w:b/>
                <w:sz w:val="17"/>
                <w:lang w:eastAsia="en-GB"/>
              </w:rPr>
            </w:pPr>
            <w:r w:rsidRPr="004E457E">
              <w:rPr>
                <w:rFonts w:eastAsia="新細明體"/>
                <w:sz w:val="17"/>
                <w:lang w:eastAsia="en-GB"/>
              </w:rPr>
              <w:t>The template is mandatory for all AIs</w:t>
            </w:r>
            <w:r w:rsidRPr="004E457E">
              <w:t xml:space="preserve"> </w:t>
            </w:r>
            <w:r w:rsidRPr="004E457E">
              <w:rPr>
                <w:rFonts w:eastAsia="新細明體"/>
                <w:sz w:val="17"/>
                <w:lang w:eastAsia="en-GB"/>
              </w:rPr>
              <w:t>incorporated in Hong Kong.</w:t>
            </w:r>
          </w:p>
        </w:tc>
      </w:tr>
      <w:tr w:rsidR="002A0515" w:rsidRPr="004E457E" w:rsidTr="00A54BE4">
        <w:tc>
          <w:tcPr>
            <w:tcW w:w="2127" w:type="dxa"/>
          </w:tcPr>
          <w:p w:rsidR="002A0515" w:rsidRPr="004E457E" w:rsidRDefault="002A0515" w:rsidP="00A54BE4">
            <w:pPr>
              <w:spacing w:before="40" w:after="40"/>
              <w:rPr>
                <w:b/>
                <w:sz w:val="17"/>
                <w:lang w:eastAsia="en-GB"/>
              </w:rPr>
            </w:pPr>
            <w:r w:rsidRPr="004E457E">
              <w:rPr>
                <w:b/>
                <w:sz w:val="17"/>
                <w:lang w:eastAsia="en-GB"/>
              </w:rPr>
              <w:t xml:space="preserve">Content: </w:t>
            </w:r>
          </w:p>
        </w:tc>
        <w:tc>
          <w:tcPr>
            <w:tcW w:w="7115" w:type="dxa"/>
          </w:tcPr>
          <w:p w:rsidR="002A0515" w:rsidRPr="004E457E" w:rsidRDefault="002A0515" w:rsidP="00A54BE4">
            <w:pPr>
              <w:spacing w:before="40" w:after="40"/>
              <w:jc w:val="both"/>
              <w:rPr>
                <w:rFonts w:eastAsia="新細明體"/>
                <w:b/>
                <w:sz w:val="17"/>
                <w:lang w:eastAsia="en-GB"/>
              </w:rPr>
            </w:pPr>
            <w:r w:rsidRPr="004E457E">
              <w:rPr>
                <w:rFonts w:eastAsia="新細明體"/>
                <w:sz w:val="17"/>
                <w:lang w:eastAsia="en-GB"/>
              </w:rPr>
              <w:t>RWA and capital requirements under the Pillar 1 framework.</w:t>
            </w:r>
          </w:p>
        </w:tc>
      </w:tr>
      <w:tr w:rsidR="002A0515" w:rsidRPr="004E457E" w:rsidTr="00A54BE4">
        <w:tc>
          <w:tcPr>
            <w:tcW w:w="2127" w:type="dxa"/>
          </w:tcPr>
          <w:p w:rsidR="002A0515" w:rsidRPr="004E457E" w:rsidRDefault="002A0515" w:rsidP="00A54BE4">
            <w:pPr>
              <w:spacing w:before="40" w:after="40"/>
              <w:rPr>
                <w:sz w:val="17"/>
                <w:lang w:eastAsia="en-GB"/>
              </w:rPr>
            </w:pPr>
            <w:r w:rsidRPr="004E457E">
              <w:rPr>
                <w:b/>
                <w:sz w:val="17"/>
                <w:lang w:eastAsia="en-GB"/>
              </w:rPr>
              <w:t>Frequency:</w:t>
            </w:r>
            <w:r w:rsidRPr="004E457E">
              <w:rPr>
                <w:sz w:val="17"/>
                <w:lang w:eastAsia="en-GB"/>
              </w:rPr>
              <w:t xml:space="preserve"> </w:t>
            </w:r>
          </w:p>
        </w:tc>
        <w:tc>
          <w:tcPr>
            <w:tcW w:w="7115" w:type="dxa"/>
          </w:tcPr>
          <w:p w:rsidR="002A0515" w:rsidRPr="004E457E" w:rsidRDefault="002A0515" w:rsidP="00A54BE4">
            <w:pPr>
              <w:spacing w:before="40" w:after="40"/>
              <w:jc w:val="both"/>
              <w:rPr>
                <w:rFonts w:eastAsia="新細明體"/>
                <w:sz w:val="17"/>
                <w:lang w:eastAsia="en-GB"/>
              </w:rPr>
            </w:pPr>
            <w:r w:rsidRPr="004E457E">
              <w:rPr>
                <w:rFonts w:eastAsia="新細明體"/>
                <w:sz w:val="17"/>
                <w:lang w:eastAsia="en-GB"/>
              </w:rPr>
              <w:t>Quarterly.</w:t>
            </w:r>
          </w:p>
        </w:tc>
      </w:tr>
      <w:tr w:rsidR="002A0515" w:rsidRPr="004E457E" w:rsidTr="00A54BE4">
        <w:tc>
          <w:tcPr>
            <w:tcW w:w="2127" w:type="dxa"/>
          </w:tcPr>
          <w:p w:rsidR="002A0515" w:rsidRPr="004E457E" w:rsidRDefault="002A0515" w:rsidP="00A54BE4">
            <w:pPr>
              <w:spacing w:before="40" w:after="40"/>
              <w:rPr>
                <w:sz w:val="17"/>
                <w:lang w:eastAsia="en-GB"/>
              </w:rPr>
            </w:pPr>
            <w:r w:rsidRPr="004E457E">
              <w:rPr>
                <w:b/>
                <w:sz w:val="17"/>
                <w:lang w:eastAsia="en-GB"/>
              </w:rPr>
              <w:t>Format:</w:t>
            </w:r>
            <w:r w:rsidRPr="004E457E">
              <w:rPr>
                <w:sz w:val="17"/>
                <w:lang w:eastAsia="en-GB"/>
              </w:rPr>
              <w:t xml:space="preserve"> </w:t>
            </w:r>
          </w:p>
        </w:tc>
        <w:tc>
          <w:tcPr>
            <w:tcW w:w="7115" w:type="dxa"/>
          </w:tcPr>
          <w:p w:rsidR="002A0515" w:rsidRPr="004E457E" w:rsidRDefault="002A0515" w:rsidP="00A54BE4">
            <w:pPr>
              <w:spacing w:before="40" w:after="40"/>
              <w:jc w:val="both"/>
              <w:rPr>
                <w:rFonts w:eastAsia="新細明體"/>
                <w:noProof/>
                <w:sz w:val="17"/>
                <w:lang w:eastAsia="en-GB"/>
              </w:rPr>
            </w:pPr>
            <w:r w:rsidRPr="004E457E">
              <w:rPr>
                <w:rFonts w:eastAsia="新細明體"/>
                <w:sz w:val="17"/>
                <w:lang w:eastAsia="en-GB"/>
              </w:rPr>
              <w:t>Fixed.</w:t>
            </w:r>
          </w:p>
        </w:tc>
      </w:tr>
      <w:tr w:rsidR="002A0515" w:rsidRPr="004E457E" w:rsidTr="00A54BE4">
        <w:tc>
          <w:tcPr>
            <w:tcW w:w="2127" w:type="dxa"/>
          </w:tcPr>
          <w:p w:rsidR="002A0515" w:rsidRPr="004E457E" w:rsidRDefault="002A0515" w:rsidP="00A54BE4">
            <w:pPr>
              <w:spacing w:before="40" w:after="40"/>
              <w:rPr>
                <w:b/>
                <w:sz w:val="17"/>
                <w:lang w:eastAsia="en-GB"/>
              </w:rPr>
            </w:pPr>
            <w:r w:rsidRPr="004E457E">
              <w:rPr>
                <w:rFonts w:eastAsia="新細明體"/>
                <w:b/>
                <w:sz w:val="17"/>
                <w:szCs w:val="17"/>
                <w:lang w:eastAsia="en-GB"/>
              </w:rPr>
              <w:t>Accompanying narrative</w:t>
            </w:r>
            <w:r w:rsidRPr="004E457E">
              <w:rPr>
                <w:rFonts w:eastAsia="新細明體"/>
                <w:sz w:val="17"/>
                <w:szCs w:val="17"/>
                <w:lang w:eastAsia="en-GB"/>
              </w:rPr>
              <w:t>:</w:t>
            </w:r>
          </w:p>
        </w:tc>
        <w:tc>
          <w:tcPr>
            <w:tcW w:w="7115" w:type="dxa"/>
          </w:tcPr>
          <w:p w:rsidR="002A0515" w:rsidRPr="004E457E" w:rsidRDefault="002A0515" w:rsidP="00A54BE4">
            <w:pPr>
              <w:spacing w:before="40" w:after="40"/>
              <w:jc w:val="both"/>
              <w:rPr>
                <w:rFonts w:eastAsia="新細明體"/>
                <w:noProof/>
                <w:sz w:val="17"/>
                <w:lang w:eastAsia="en-GB"/>
              </w:rPr>
            </w:pPr>
            <w:r w:rsidRPr="004E457E">
              <w:rPr>
                <w:rFonts w:eastAsia="新細明體"/>
                <w:sz w:val="17"/>
                <w:szCs w:val="17"/>
                <w:lang w:eastAsia="en-GB"/>
              </w:rPr>
              <w:t xml:space="preserve">An AI should </w:t>
            </w:r>
            <w:r w:rsidRPr="004E457E">
              <w:rPr>
                <w:rFonts w:eastAsia="新細明體"/>
                <w:sz w:val="17"/>
                <w:lang w:eastAsia="en-GB"/>
              </w:rPr>
              <w:t>explain the drivers behind differences in reporting periods T and T-1 where these differences are material.  The AI should also explain the adjustments made if capital requirements in column (c) do not correspond to 8% of RWA in column (a).  If an AI uses the internal models method to calculate its equity exposures in the banking book pursuant to the BCR, it should provide a description of its internal models used in an accompanying narrative.</w:t>
            </w:r>
          </w:p>
        </w:tc>
      </w:tr>
      <w:tr w:rsidR="002A0515" w:rsidRPr="004E457E" w:rsidTr="00A54BE4">
        <w:tc>
          <w:tcPr>
            <w:tcW w:w="2127" w:type="dxa"/>
          </w:tcPr>
          <w:p w:rsidR="002A0515" w:rsidRPr="004E457E" w:rsidRDefault="002A0515" w:rsidP="00A54BE4">
            <w:pPr>
              <w:spacing w:before="40" w:after="40"/>
              <w:rPr>
                <w:rFonts w:eastAsia="新細明體"/>
                <w:b/>
                <w:sz w:val="17"/>
                <w:szCs w:val="17"/>
                <w:lang w:eastAsia="en-GB"/>
              </w:rPr>
            </w:pPr>
            <w:r w:rsidRPr="004E457E">
              <w:rPr>
                <w:rFonts w:eastAsia="新細明體"/>
                <w:b/>
                <w:sz w:val="17"/>
                <w:szCs w:val="17"/>
                <w:lang w:eastAsia="en-GB"/>
              </w:rPr>
              <w:t>Corresponding BDR section:</w:t>
            </w:r>
          </w:p>
        </w:tc>
        <w:tc>
          <w:tcPr>
            <w:tcW w:w="7115" w:type="dxa"/>
          </w:tcPr>
          <w:p w:rsidR="002A0515" w:rsidRPr="004E457E" w:rsidRDefault="002A0515" w:rsidP="00A54BE4">
            <w:pPr>
              <w:spacing w:before="40" w:after="40"/>
              <w:jc w:val="both"/>
              <w:rPr>
                <w:rFonts w:eastAsia="新細明體"/>
                <w:sz w:val="17"/>
                <w:szCs w:val="17"/>
                <w:lang w:eastAsia="en-GB"/>
              </w:rPr>
            </w:pPr>
            <w:r w:rsidRPr="001B530B">
              <w:rPr>
                <w:rFonts w:eastAsia="新細明體"/>
                <w:sz w:val="17"/>
                <w:szCs w:val="17"/>
                <w:lang w:eastAsia="en-GB"/>
              </w:rPr>
              <w:t>16C</w:t>
            </w:r>
          </w:p>
        </w:tc>
      </w:tr>
    </w:tbl>
    <w:p w:rsidR="002A0515" w:rsidRPr="004E457E" w:rsidRDefault="002A0515" w:rsidP="002A0515">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600" w:firstRow="0" w:lastRow="0" w:firstColumn="0" w:lastColumn="0" w:noHBand="1" w:noVBand="1"/>
      </w:tblPr>
      <w:tblGrid>
        <w:gridCol w:w="567"/>
        <w:gridCol w:w="5245"/>
        <w:gridCol w:w="921"/>
        <w:gridCol w:w="922"/>
        <w:gridCol w:w="1559"/>
      </w:tblGrid>
      <w:tr w:rsidR="002A0515" w:rsidRPr="004E457E" w:rsidTr="00A54BE4">
        <w:trPr>
          <w:trHeight w:val="299"/>
          <w:tblHeader/>
        </w:trPr>
        <w:tc>
          <w:tcPr>
            <w:tcW w:w="567" w:type="dxa"/>
            <w:tcBorders>
              <w:top w:val="nil"/>
              <w:left w:val="nil"/>
              <w:bottom w:val="nil"/>
              <w:right w:val="nil"/>
            </w:tcBorders>
          </w:tcPr>
          <w:p w:rsidR="002A0515" w:rsidRPr="004E457E" w:rsidRDefault="002A0515" w:rsidP="00A54BE4">
            <w:pPr>
              <w:keepLines/>
              <w:snapToGrid w:val="0"/>
              <w:rPr>
                <w:rFonts w:cs="Segoe UI"/>
                <w:i/>
                <w:sz w:val="17"/>
                <w:szCs w:val="17"/>
                <w:lang w:eastAsia="en-GB"/>
              </w:rPr>
            </w:pPr>
          </w:p>
        </w:tc>
        <w:tc>
          <w:tcPr>
            <w:tcW w:w="5245" w:type="dxa"/>
            <w:tcBorders>
              <w:top w:val="nil"/>
              <w:left w:val="nil"/>
              <w:bottom w:val="nil"/>
              <w:right w:val="single" w:sz="4" w:space="0" w:color="auto"/>
            </w:tcBorders>
          </w:tcPr>
          <w:p w:rsidR="002A0515" w:rsidRPr="004E457E" w:rsidRDefault="002A0515" w:rsidP="00A54BE4">
            <w:pPr>
              <w:keepLines/>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2A0515" w:rsidRPr="004E457E" w:rsidRDefault="002A0515" w:rsidP="00A54BE4">
            <w:pPr>
              <w:keepLines/>
              <w:snapToGrid w:val="0"/>
              <w:spacing w:before="40" w:after="40"/>
              <w:jc w:val="center"/>
              <w:rPr>
                <w:rFonts w:cs="Segoe UI"/>
                <w:sz w:val="17"/>
                <w:szCs w:val="17"/>
                <w:lang w:eastAsia="en-GB"/>
              </w:rPr>
            </w:pPr>
            <w:r w:rsidRPr="004E457E">
              <w:rPr>
                <w:rFonts w:cs="Segoe UI"/>
                <w:sz w:val="17"/>
                <w:szCs w:val="17"/>
                <w:lang w:eastAsia="en-GB"/>
              </w:rPr>
              <w:t>(a)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A0515" w:rsidRPr="004E457E" w:rsidRDefault="002A0515" w:rsidP="00A54BE4">
            <w:pPr>
              <w:keepLines/>
              <w:snapToGrid w:val="0"/>
              <w:spacing w:before="40" w:after="40"/>
              <w:jc w:val="center"/>
              <w:rPr>
                <w:rFonts w:cs="Segoe UI"/>
                <w:sz w:val="17"/>
                <w:szCs w:val="17"/>
                <w:lang w:eastAsia="en-GB"/>
              </w:rPr>
            </w:pPr>
            <w:r w:rsidRPr="004E457E">
              <w:rPr>
                <w:rFonts w:cs="Segoe UI"/>
                <w:sz w:val="17"/>
                <w:szCs w:val="17"/>
                <w:lang w:eastAsia="en-GB"/>
              </w:rPr>
              <w:t>(b)</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A0515" w:rsidRPr="004E457E" w:rsidRDefault="002A0515" w:rsidP="00A54BE4">
            <w:pPr>
              <w:keepLines/>
              <w:snapToGrid w:val="0"/>
              <w:spacing w:before="40" w:after="40"/>
              <w:jc w:val="center"/>
              <w:rPr>
                <w:rFonts w:cs="Segoe UI"/>
                <w:sz w:val="17"/>
                <w:szCs w:val="17"/>
                <w:lang w:eastAsia="en-GB"/>
              </w:rPr>
            </w:pPr>
            <w:r w:rsidRPr="004E457E">
              <w:rPr>
                <w:rFonts w:cs="Segoe UI"/>
                <w:sz w:val="17"/>
                <w:szCs w:val="17"/>
                <w:lang w:eastAsia="en-GB"/>
              </w:rPr>
              <w:t>(c)</w:t>
            </w:r>
          </w:p>
        </w:tc>
      </w:tr>
      <w:tr w:rsidR="002A0515" w:rsidRPr="004E457E" w:rsidTr="00A54BE4">
        <w:trPr>
          <w:trHeight w:val="275"/>
          <w:tblHeader/>
        </w:trPr>
        <w:tc>
          <w:tcPr>
            <w:tcW w:w="567" w:type="dxa"/>
            <w:tcBorders>
              <w:top w:val="nil"/>
              <w:left w:val="nil"/>
              <w:bottom w:val="nil"/>
              <w:right w:val="nil"/>
            </w:tcBorders>
          </w:tcPr>
          <w:p w:rsidR="002A0515" w:rsidRPr="004E457E" w:rsidRDefault="002A0515" w:rsidP="00A54BE4">
            <w:pPr>
              <w:keepLines/>
              <w:snapToGrid w:val="0"/>
              <w:rPr>
                <w:rFonts w:cs="Segoe UI"/>
                <w:i/>
                <w:sz w:val="17"/>
                <w:szCs w:val="17"/>
                <w:lang w:eastAsia="en-GB"/>
              </w:rPr>
            </w:pPr>
          </w:p>
        </w:tc>
        <w:tc>
          <w:tcPr>
            <w:tcW w:w="5245" w:type="dxa"/>
            <w:vMerge w:val="restart"/>
            <w:tcBorders>
              <w:top w:val="nil"/>
              <w:left w:val="nil"/>
              <w:bottom w:val="single" w:sz="4" w:space="0" w:color="auto"/>
              <w:right w:val="single" w:sz="4" w:space="0" w:color="auto"/>
            </w:tcBorders>
          </w:tcPr>
          <w:p w:rsidR="002A0515" w:rsidRPr="004E457E" w:rsidRDefault="002A0515" w:rsidP="00A54BE4">
            <w:pPr>
              <w:keepLines/>
              <w:snapToGrid w:val="0"/>
              <w:rPr>
                <w:rFonts w:cs="Segoe UI"/>
                <w:i/>
                <w:noProof/>
                <w:sz w:val="17"/>
                <w:szCs w:val="17"/>
                <w:lang w:eastAsia="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0515" w:rsidRPr="004E457E" w:rsidRDefault="002A0515" w:rsidP="00A54BE4">
            <w:pPr>
              <w:keepLines/>
              <w:snapToGrid w:val="0"/>
              <w:spacing w:before="40" w:after="40"/>
              <w:jc w:val="center"/>
              <w:rPr>
                <w:rFonts w:cs="Segoe UI"/>
                <w:noProof/>
                <w:sz w:val="17"/>
                <w:szCs w:val="17"/>
                <w:lang w:eastAsia="en-GB"/>
              </w:rPr>
            </w:pPr>
            <w:r w:rsidRPr="004E457E">
              <w:rPr>
                <w:rFonts w:cs="Segoe UI"/>
                <w:sz w:val="17"/>
                <w:szCs w:val="17"/>
                <w:lang w:eastAsia="en-GB"/>
              </w:rPr>
              <w:t>RWA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A0515" w:rsidRPr="004E457E" w:rsidRDefault="002A0515" w:rsidP="00A54BE4">
            <w:pPr>
              <w:keepLines/>
              <w:snapToGrid w:val="0"/>
              <w:spacing w:before="40" w:after="40"/>
              <w:jc w:val="center"/>
              <w:rPr>
                <w:rFonts w:cs="Segoe UI"/>
                <w:noProof/>
                <w:spacing w:val="-20"/>
                <w:sz w:val="17"/>
                <w:szCs w:val="17"/>
                <w:lang w:eastAsia="en-GB"/>
              </w:rPr>
            </w:pPr>
            <w:r w:rsidRPr="004E457E">
              <w:rPr>
                <w:rFonts w:cs="Segoe UI"/>
                <w:sz w:val="17"/>
                <w:szCs w:val="17"/>
                <w:lang w:eastAsia="en-GB"/>
              </w:rPr>
              <w:t>Minimum capital requirements</w:t>
            </w:r>
          </w:p>
        </w:tc>
      </w:tr>
      <w:tr w:rsidR="002A0515" w:rsidRPr="004E457E" w:rsidTr="00A54BE4">
        <w:trPr>
          <w:trHeight w:val="245"/>
          <w:tblHeader/>
        </w:trPr>
        <w:tc>
          <w:tcPr>
            <w:tcW w:w="567" w:type="dxa"/>
            <w:tcBorders>
              <w:top w:val="nil"/>
              <w:left w:val="nil"/>
              <w:bottom w:val="single" w:sz="4" w:space="0" w:color="auto"/>
              <w:right w:val="nil"/>
            </w:tcBorders>
          </w:tcPr>
          <w:p w:rsidR="002A0515" w:rsidRPr="004E457E" w:rsidRDefault="002A0515" w:rsidP="00A54BE4">
            <w:pPr>
              <w:keepLines/>
              <w:snapToGrid w:val="0"/>
              <w:rPr>
                <w:rFonts w:cs="Segoe UI"/>
                <w:i/>
                <w:sz w:val="17"/>
                <w:szCs w:val="17"/>
                <w:lang w:eastAsia="en-GB"/>
              </w:rPr>
            </w:pPr>
          </w:p>
        </w:tc>
        <w:tc>
          <w:tcPr>
            <w:tcW w:w="5245" w:type="dxa"/>
            <w:vMerge/>
            <w:tcBorders>
              <w:top w:val="single" w:sz="4" w:space="0" w:color="auto"/>
              <w:left w:val="nil"/>
              <w:bottom w:val="single" w:sz="4" w:space="0" w:color="auto"/>
              <w:right w:val="single" w:sz="4" w:space="0" w:color="auto"/>
            </w:tcBorders>
          </w:tcPr>
          <w:p w:rsidR="002A0515" w:rsidRPr="004E457E" w:rsidRDefault="002A0515" w:rsidP="00A54BE4">
            <w:pPr>
              <w:keepLines/>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2A0515" w:rsidRPr="004E457E" w:rsidRDefault="002A0515" w:rsidP="00A54BE4">
            <w:pPr>
              <w:keepLines/>
              <w:snapToGrid w:val="0"/>
              <w:spacing w:before="40" w:after="40"/>
              <w:jc w:val="center"/>
              <w:rPr>
                <w:rFonts w:cs="Segoe UI"/>
                <w:sz w:val="17"/>
                <w:szCs w:val="17"/>
                <w:lang w:eastAsia="en-GB"/>
              </w:rPr>
            </w:pPr>
            <w:r w:rsidRPr="004E457E">
              <w:rPr>
                <w:rFonts w:cs="Segoe UI"/>
                <w:sz w:val="17"/>
                <w:szCs w:val="17"/>
                <w:lang w:eastAsia="en-GB"/>
              </w:rPr>
              <w:t>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A0515" w:rsidRPr="004E457E" w:rsidRDefault="002A0515" w:rsidP="00A54BE4">
            <w:pPr>
              <w:keepLines/>
              <w:snapToGrid w:val="0"/>
              <w:spacing w:before="40" w:after="40"/>
              <w:jc w:val="center"/>
              <w:rPr>
                <w:rFonts w:cs="Segoe UI"/>
                <w:noProof/>
                <w:sz w:val="17"/>
                <w:szCs w:val="17"/>
                <w:lang w:eastAsia="en-GB"/>
              </w:rPr>
            </w:pPr>
            <w:r w:rsidRPr="004E457E">
              <w:rPr>
                <w:rFonts w:cs="Segoe UI"/>
                <w:sz w:val="17"/>
                <w:szCs w:val="17"/>
                <w:lang w:eastAsia="en-GB"/>
              </w:rPr>
              <w:t>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A0515" w:rsidRPr="004E457E" w:rsidRDefault="002A0515" w:rsidP="00A54BE4">
            <w:pPr>
              <w:keepLines/>
              <w:snapToGrid w:val="0"/>
              <w:spacing w:before="40" w:after="40"/>
              <w:jc w:val="center"/>
              <w:rPr>
                <w:rFonts w:cs="Segoe UI"/>
                <w:noProof/>
                <w:sz w:val="17"/>
                <w:szCs w:val="17"/>
                <w:lang w:eastAsia="en-GB"/>
              </w:rPr>
            </w:pPr>
            <w:r w:rsidRPr="004E457E">
              <w:rPr>
                <w:rFonts w:cs="Segoe UI"/>
                <w:noProof/>
                <w:sz w:val="17"/>
                <w:szCs w:val="17"/>
                <w:lang w:eastAsia="en-GB"/>
              </w:rPr>
              <w:t>T</w:t>
            </w:r>
          </w:p>
        </w:tc>
      </w:tr>
      <w:tr w:rsidR="002A0515" w:rsidRPr="004E457E" w:rsidTr="00A54BE4">
        <w:tc>
          <w:tcPr>
            <w:tcW w:w="567" w:type="dxa"/>
            <w:tcBorders>
              <w:top w:val="single" w:sz="4" w:space="0" w:color="auto"/>
              <w:left w:val="nil"/>
              <w:right w:val="single" w:sz="4" w:space="0" w:color="auto"/>
            </w:tcBorders>
          </w:tcPr>
          <w:p w:rsidR="002A0515" w:rsidRPr="00CB685C" w:rsidRDefault="002A0515" w:rsidP="00A54BE4">
            <w:pPr>
              <w:keepLines/>
              <w:tabs>
                <w:tab w:val="left" w:pos="150"/>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1</w:t>
            </w:r>
          </w:p>
        </w:tc>
        <w:tc>
          <w:tcPr>
            <w:tcW w:w="5245" w:type="dxa"/>
            <w:tcBorders>
              <w:top w:val="single" w:sz="4" w:space="0" w:color="auto"/>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Credit risk for non-securitization exposures</w:t>
            </w:r>
          </w:p>
        </w:tc>
        <w:tc>
          <w:tcPr>
            <w:tcW w:w="921" w:type="dxa"/>
            <w:tcBorders>
              <w:top w:val="single" w:sz="4" w:space="0" w:color="auto"/>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auto"/>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auto"/>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2</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STC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2a</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BSC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lang w:eastAsia="en-GB"/>
              </w:rPr>
            </w:pPr>
            <w:r w:rsidRPr="00CB685C">
              <w:rPr>
                <w:rFonts w:cs="Segoe UI"/>
                <w:sz w:val="17"/>
                <w:szCs w:val="17"/>
                <w:lang w:eastAsia="en-GB"/>
              </w:rPr>
              <w:t>3</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C3109C">
              <w:rPr>
                <w:rFonts w:cs="Segoe UI"/>
                <w:sz w:val="17"/>
                <w:szCs w:val="17"/>
                <w:lang w:eastAsia="en-GB"/>
              </w:rPr>
              <w:t>foundation IRB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4</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C3109C">
              <w:rPr>
                <w:rFonts w:cs="Segoe UI"/>
                <w:sz w:val="17"/>
                <w:szCs w:val="17"/>
                <w:lang w:eastAsia="en-GB"/>
              </w:rPr>
              <w:t>supervisory slotting criteria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5</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C3109C">
              <w:rPr>
                <w:rFonts w:cs="Segoe UI"/>
                <w:sz w:val="17"/>
                <w:szCs w:val="17"/>
                <w:lang w:eastAsia="en-GB"/>
              </w:rPr>
              <w:t>advanced IRB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6</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noProof/>
                <w:sz w:val="17"/>
                <w:szCs w:val="17"/>
                <w:lang w:eastAsia="en-GB"/>
              </w:rPr>
            </w:pPr>
            <w:r>
              <w:rPr>
                <w:rFonts w:cs="Segoe UI"/>
                <w:sz w:val="17"/>
                <w:szCs w:val="17"/>
                <w:lang w:eastAsia="en-GB"/>
              </w:rPr>
              <w:t>Counterparty default risk and default fund contributions</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7</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SA-CCR</w:t>
            </w:r>
            <w:r>
              <w:rPr>
                <w:rFonts w:cs="Segoe UI"/>
                <w:sz w:val="17"/>
                <w:szCs w:val="17"/>
                <w:lang w:eastAsia="en-GB"/>
              </w:rPr>
              <w:t xml:space="preserve">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lang w:eastAsia="en-GB"/>
              </w:rPr>
            </w:pPr>
            <w:r w:rsidRPr="00CB685C">
              <w:rPr>
                <w:rFonts w:cs="Segoe UI" w:hint="eastAsia"/>
                <w:sz w:val="17"/>
                <w:szCs w:val="17"/>
              </w:rPr>
              <w:t>7</w:t>
            </w:r>
            <w:r w:rsidRPr="00CB685C">
              <w:rPr>
                <w:rFonts w:cs="Segoe UI"/>
                <w:sz w:val="17"/>
                <w:szCs w:val="17"/>
                <w:lang w:eastAsia="en-GB"/>
              </w:rPr>
              <w:t>a</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CEM</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8</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FC4133">
              <w:rPr>
                <w:rFonts w:cs="Segoe UI"/>
                <w:sz w:val="17"/>
                <w:szCs w:val="17"/>
                <w:lang w:eastAsia="en-GB"/>
              </w:rPr>
              <w:t xml:space="preserve">IMM(CCR) </w:t>
            </w:r>
            <w:r>
              <w:rPr>
                <w:rFonts w:cs="Segoe UI"/>
                <w:sz w:val="17"/>
                <w:szCs w:val="17"/>
                <w:lang w:eastAsia="en-GB"/>
              </w:rPr>
              <w:t>a</w:t>
            </w:r>
            <w:r w:rsidRPr="00FC4133">
              <w:rPr>
                <w:rFonts w:cs="Segoe UI"/>
                <w:sz w:val="17"/>
                <w:szCs w:val="17"/>
                <w:lang w:eastAsia="en-GB"/>
              </w:rPr>
              <w:t>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9</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45027E">
              <w:rPr>
                <w:rFonts w:cs="Segoe UI"/>
                <w:sz w:val="17"/>
                <w:szCs w:val="17"/>
                <w:lang w:eastAsia="en-GB"/>
              </w:rPr>
              <w:t>other</w:t>
            </w:r>
            <w:r>
              <w:rPr>
                <w:rFonts w:cs="Segoe UI"/>
                <w:sz w:val="17"/>
                <w:szCs w:val="17"/>
                <w:lang w:eastAsia="en-GB"/>
              </w:rPr>
              <w:t>s</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rPr>
          <w:trHeight w:val="227"/>
        </w:trPr>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10</w:t>
            </w:r>
          </w:p>
        </w:tc>
        <w:tc>
          <w:tcPr>
            <w:tcW w:w="5245" w:type="dxa"/>
            <w:tcBorders>
              <w:left w:val="single" w:sz="4" w:space="0" w:color="auto"/>
              <w:right w:val="single" w:sz="4" w:space="0" w:color="auto"/>
            </w:tcBorders>
          </w:tcPr>
          <w:p w:rsidR="002A0515" w:rsidRPr="00E44B1B" w:rsidRDefault="002A0515" w:rsidP="00A54BE4">
            <w:pPr>
              <w:keepLines/>
              <w:tabs>
                <w:tab w:val="left" w:pos="397"/>
                <w:tab w:val="left" w:pos="794"/>
                <w:tab w:val="left" w:pos="1191"/>
              </w:tabs>
              <w:snapToGrid w:val="0"/>
              <w:spacing w:before="20" w:after="20"/>
              <w:rPr>
                <w:rFonts w:cs="Segoe UI"/>
              </w:rPr>
            </w:pPr>
            <w:r>
              <w:rPr>
                <w:rFonts w:cs="Segoe UI"/>
                <w:sz w:val="17"/>
                <w:szCs w:val="17"/>
                <w:lang w:eastAsia="en-GB"/>
              </w:rPr>
              <w:t>CVA risk</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11</w:t>
            </w:r>
          </w:p>
        </w:tc>
        <w:tc>
          <w:tcPr>
            <w:tcW w:w="5245" w:type="dxa"/>
            <w:tcBorders>
              <w:left w:val="single" w:sz="4" w:space="0" w:color="auto"/>
              <w:right w:val="single" w:sz="4" w:space="0" w:color="auto"/>
            </w:tcBorders>
          </w:tcPr>
          <w:p w:rsidR="002A0515" w:rsidRPr="00686916" w:rsidRDefault="002A0515" w:rsidP="00A54BE4">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 xml:space="preserve">Equity positions </w:t>
            </w:r>
            <w:r>
              <w:rPr>
                <w:rFonts w:cs="Segoe UI"/>
                <w:noProof/>
                <w:sz w:val="17"/>
                <w:szCs w:val="17"/>
                <w:lang w:eastAsia="en-GB"/>
              </w:rPr>
              <w:t xml:space="preserve">in banking book </w:t>
            </w:r>
            <w:r w:rsidRPr="00686916">
              <w:rPr>
                <w:rFonts w:cs="Segoe UI"/>
                <w:noProof/>
                <w:sz w:val="17"/>
                <w:szCs w:val="17"/>
                <w:lang w:eastAsia="en-GB"/>
              </w:rPr>
              <w:t xml:space="preserve">under the </w:t>
            </w:r>
            <w:r>
              <w:rPr>
                <w:rFonts w:cs="Segoe UI" w:hint="eastAsia"/>
                <w:noProof/>
                <w:sz w:val="17"/>
                <w:szCs w:val="17"/>
              </w:rPr>
              <w:t>s</w:t>
            </w:r>
            <w:r w:rsidRPr="00146759">
              <w:rPr>
                <w:rFonts w:cs="Segoe UI"/>
                <w:noProof/>
                <w:sz w:val="17"/>
                <w:szCs w:val="17"/>
                <w:lang w:eastAsia="en-GB"/>
              </w:rPr>
              <w:t>imple risk-weight method</w:t>
            </w:r>
            <w:r>
              <w:rPr>
                <w:rFonts w:cs="Segoe UI"/>
                <w:noProof/>
                <w:sz w:val="17"/>
                <w:szCs w:val="17"/>
                <w:lang w:eastAsia="en-GB"/>
              </w:rPr>
              <w:t xml:space="preserve"> and internal models method</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top w:val="single" w:sz="4" w:space="0" w:color="BCBDBC"/>
              <w:left w:val="nil"/>
              <w:bottom w:val="single" w:sz="4" w:space="0" w:color="BCBDBC"/>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12</w:t>
            </w:r>
          </w:p>
        </w:tc>
        <w:tc>
          <w:tcPr>
            <w:tcW w:w="5245" w:type="dxa"/>
            <w:tcBorders>
              <w:top w:val="single" w:sz="4" w:space="0" w:color="BCBDBC"/>
              <w:left w:val="single" w:sz="4" w:space="0" w:color="auto"/>
              <w:bottom w:val="single" w:sz="4" w:space="0" w:color="BCBDBC"/>
              <w:right w:val="single" w:sz="4" w:space="0" w:color="auto"/>
            </w:tcBorders>
          </w:tcPr>
          <w:p w:rsidR="002A0515" w:rsidRPr="00180754" w:rsidRDefault="002A0515" w:rsidP="00A54BE4">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Collective investment scheme (“</w:t>
            </w:r>
            <w:r w:rsidRPr="004E457E">
              <w:rPr>
                <w:rFonts w:cs="Segoe UI"/>
                <w:sz w:val="17"/>
                <w:szCs w:val="17"/>
                <w:lang w:eastAsia="en-GB"/>
              </w:rPr>
              <w:t>CIS</w:t>
            </w:r>
            <w:r>
              <w:rPr>
                <w:rFonts w:cs="Segoe UI"/>
                <w:sz w:val="17"/>
                <w:szCs w:val="17"/>
                <w:lang w:eastAsia="en-GB"/>
              </w:rPr>
              <w:t>”)</w:t>
            </w:r>
            <w:r w:rsidRPr="004E457E">
              <w:rPr>
                <w:rFonts w:cs="Segoe UI"/>
                <w:sz w:val="17"/>
                <w:szCs w:val="17"/>
                <w:lang w:eastAsia="en-GB"/>
              </w:rPr>
              <w:t xml:space="preserve"> exposures – LTA</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top w:val="single" w:sz="4" w:space="0" w:color="BCBDBC"/>
              <w:left w:val="nil"/>
              <w:bottom w:val="single" w:sz="4" w:space="0" w:color="BCBDBC"/>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hint="eastAsia"/>
                <w:sz w:val="17"/>
                <w:szCs w:val="17"/>
              </w:rPr>
              <w:t>13</w:t>
            </w:r>
          </w:p>
        </w:tc>
        <w:tc>
          <w:tcPr>
            <w:tcW w:w="5245" w:type="dxa"/>
            <w:tcBorders>
              <w:top w:val="single" w:sz="4" w:space="0" w:color="BCBDBC"/>
              <w:left w:val="single" w:sz="4" w:space="0" w:color="auto"/>
              <w:bottom w:val="single" w:sz="4" w:space="0" w:color="BCBDBC"/>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CIS exposures – MBA</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top w:val="single" w:sz="4" w:space="0" w:color="BCBDBC"/>
              <w:left w:val="nil"/>
              <w:bottom w:val="single" w:sz="4" w:space="0" w:color="BCBDBC"/>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sz w:val="17"/>
                <w:szCs w:val="17"/>
                <w:lang w:eastAsia="en-GB"/>
              </w:rPr>
              <w:t>14</w:t>
            </w:r>
          </w:p>
        </w:tc>
        <w:tc>
          <w:tcPr>
            <w:tcW w:w="5245" w:type="dxa"/>
            <w:tcBorders>
              <w:top w:val="single" w:sz="4" w:space="0" w:color="BCBDBC"/>
              <w:left w:val="single" w:sz="4" w:space="0" w:color="auto"/>
              <w:bottom w:val="single" w:sz="4" w:space="0" w:color="BCBDBC"/>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CIS exposures – FBA</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top w:val="single" w:sz="4" w:space="0" w:color="BCBDBC"/>
              <w:left w:val="nil"/>
              <w:bottom w:val="single" w:sz="4" w:space="0" w:color="BCBDBC"/>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14a</w:t>
            </w:r>
          </w:p>
        </w:tc>
        <w:tc>
          <w:tcPr>
            <w:tcW w:w="5245" w:type="dxa"/>
            <w:tcBorders>
              <w:top w:val="single" w:sz="4" w:space="0" w:color="BCBDBC"/>
              <w:left w:val="single" w:sz="4" w:space="0" w:color="auto"/>
              <w:bottom w:val="single" w:sz="4" w:space="0" w:color="BCBDBC"/>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CIS exposures – combination of approaches*</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top w:val="single" w:sz="4" w:space="0" w:color="BCBDBC"/>
              <w:left w:val="nil"/>
              <w:bottom w:val="single" w:sz="4" w:space="0" w:color="BCBDBC"/>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sz w:val="17"/>
                <w:szCs w:val="17"/>
                <w:lang w:eastAsia="en-GB"/>
              </w:rPr>
              <w:t>1</w:t>
            </w:r>
            <w:r w:rsidRPr="00CB685C">
              <w:rPr>
                <w:rFonts w:cs="Segoe UI" w:hint="eastAsia"/>
                <w:sz w:val="17"/>
                <w:szCs w:val="17"/>
              </w:rPr>
              <w:t>5</w:t>
            </w:r>
          </w:p>
        </w:tc>
        <w:tc>
          <w:tcPr>
            <w:tcW w:w="5245" w:type="dxa"/>
            <w:tcBorders>
              <w:top w:val="single" w:sz="4" w:space="0" w:color="BCBDBC"/>
              <w:left w:val="single" w:sz="4" w:space="0" w:color="auto"/>
              <w:bottom w:val="single" w:sz="4" w:space="0" w:color="BCBDBC"/>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Settlement risk</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CB685C" w:rsidRDefault="002A0515" w:rsidP="00A54BE4">
            <w:pPr>
              <w:keepLines/>
              <w:tabs>
                <w:tab w:val="left" w:pos="397"/>
                <w:tab w:val="left" w:pos="794"/>
                <w:tab w:val="left" w:pos="1191"/>
              </w:tabs>
              <w:snapToGrid w:val="0"/>
              <w:spacing w:before="20" w:after="20"/>
              <w:rPr>
                <w:rFonts w:cs="Segoe UI"/>
                <w:sz w:val="17"/>
                <w:szCs w:val="17"/>
              </w:rPr>
            </w:pPr>
            <w:r w:rsidRPr="00CB685C">
              <w:rPr>
                <w:rFonts w:cs="Segoe UI"/>
                <w:sz w:val="17"/>
                <w:szCs w:val="17"/>
                <w:lang w:eastAsia="en-GB"/>
              </w:rPr>
              <w:t>1</w:t>
            </w:r>
            <w:r w:rsidRPr="00CB685C">
              <w:rPr>
                <w:rFonts w:cs="Segoe UI" w:hint="eastAsia"/>
                <w:sz w:val="17"/>
                <w:szCs w:val="17"/>
              </w:rPr>
              <w:t>6</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Securiti</w:t>
            </w:r>
            <w:r>
              <w:rPr>
                <w:rFonts w:cs="Segoe UI"/>
                <w:sz w:val="17"/>
                <w:szCs w:val="17"/>
                <w:lang w:eastAsia="en-GB"/>
              </w:rPr>
              <w:t>zation exposures in banking book</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331B2F" w:rsidRDefault="002A0515" w:rsidP="00A54BE4">
            <w:pPr>
              <w:keepLines/>
              <w:tabs>
                <w:tab w:val="left" w:pos="397"/>
                <w:tab w:val="left" w:pos="794"/>
                <w:tab w:val="left" w:pos="1191"/>
              </w:tabs>
              <w:snapToGrid w:val="0"/>
              <w:spacing w:before="20" w:after="20"/>
              <w:rPr>
                <w:rFonts w:cs="Segoe UI"/>
                <w:sz w:val="17"/>
                <w:szCs w:val="17"/>
              </w:rPr>
            </w:pPr>
            <w:r w:rsidRPr="00331B2F">
              <w:rPr>
                <w:rFonts w:cs="Segoe UI"/>
                <w:sz w:val="17"/>
                <w:szCs w:val="17"/>
                <w:lang w:eastAsia="en-GB"/>
              </w:rPr>
              <w:t>1</w:t>
            </w:r>
            <w:r w:rsidRPr="00331B2F">
              <w:rPr>
                <w:rFonts w:cs="Segoe UI" w:hint="eastAsia"/>
                <w:sz w:val="17"/>
                <w:szCs w:val="17"/>
              </w:rPr>
              <w:t>7</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5F2537">
              <w:rPr>
                <w:rFonts w:cs="Segoe UI"/>
                <w:sz w:val="17"/>
                <w:szCs w:val="17"/>
                <w:lang w:eastAsia="en-GB"/>
              </w:rPr>
              <w:t>SEC-IRBA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331B2F" w:rsidRDefault="002A0515" w:rsidP="00A54BE4">
            <w:pPr>
              <w:keepLines/>
              <w:tabs>
                <w:tab w:val="left" w:pos="397"/>
                <w:tab w:val="left" w:pos="794"/>
                <w:tab w:val="left" w:pos="1191"/>
              </w:tabs>
              <w:snapToGrid w:val="0"/>
              <w:spacing w:before="20" w:after="20"/>
              <w:rPr>
                <w:rFonts w:cs="Segoe UI"/>
                <w:sz w:val="17"/>
                <w:szCs w:val="17"/>
              </w:rPr>
            </w:pPr>
            <w:r w:rsidRPr="00331B2F">
              <w:rPr>
                <w:rFonts w:cs="Segoe UI"/>
                <w:sz w:val="17"/>
                <w:szCs w:val="17"/>
                <w:lang w:eastAsia="en-GB"/>
              </w:rPr>
              <w:t>1</w:t>
            </w:r>
            <w:r w:rsidRPr="00331B2F">
              <w:rPr>
                <w:rFonts w:cs="Segoe UI" w:hint="eastAsia"/>
                <w:sz w:val="17"/>
                <w:szCs w:val="17"/>
              </w:rPr>
              <w:t>8</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5F2537">
              <w:rPr>
                <w:rFonts w:cs="Segoe UI"/>
                <w:sz w:val="17"/>
                <w:szCs w:val="17"/>
                <w:lang w:eastAsia="en-GB"/>
              </w:rPr>
              <w:t>SEC-ERBA</w:t>
            </w:r>
            <w:r>
              <w:rPr>
                <w:rFonts w:cs="Segoe UI"/>
                <w:sz w:val="17"/>
                <w:szCs w:val="17"/>
                <w:lang w:eastAsia="en-GB"/>
              </w:rPr>
              <w:t xml:space="preserve"> (including IAA)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331B2F" w:rsidRDefault="002A0515" w:rsidP="00A54BE4">
            <w:pPr>
              <w:keepLines/>
              <w:tabs>
                <w:tab w:val="left" w:pos="397"/>
                <w:tab w:val="left" w:pos="794"/>
                <w:tab w:val="left" w:pos="1191"/>
              </w:tabs>
              <w:snapToGrid w:val="0"/>
              <w:spacing w:before="20" w:after="20"/>
              <w:rPr>
                <w:rFonts w:cs="Segoe UI"/>
                <w:sz w:val="17"/>
                <w:szCs w:val="17"/>
              </w:rPr>
            </w:pPr>
            <w:r w:rsidRPr="00331B2F">
              <w:rPr>
                <w:rFonts w:cs="Segoe UI"/>
                <w:sz w:val="17"/>
                <w:szCs w:val="17"/>
                <w:lang w:eastAsia="en-GB"/>
              </w:rPr>
              <w:t>1</w:t>
            </w:r>
            <w:r w:rsidRPr="00331B2F">
              <w:rPr>
                <w:rFonts w:cs="Segoe UI" w:hint="eastAsia"/>
                <w:sz w:val="17"/>
                <w:szCs w:val="17"/>
              </w:rPr>
              <w:t>9</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 xml:space="preserve">Of which </w:t>
            </w:r>
            <w:r w:rsidRPr="005F2537">
              <w:rPr>
                <w:rFonts w:cs="Segoe UI"/>
                <w:sz w:val="17"/>
                <w:szCs w:val="17"/>
                <w:lang w:eastAsia="en-GB"/>
              </w:rPr>
              <w:t>SEC-SA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331B2F" w:rsidRDefault="002A0515" w:rsidP="00A54BE4">
            <w:pPr>
              <w:keepLines/>
              <w:tabs>
                <w:tab w:val="left" w:pos="397"/>
                <w:tab w:val="left" w:pos="794"/>
                <w:tab w:val="left" w:pos="1191"/>
              </w:tabs>
              <w:snapToGrid w:val="0"/>
              <w:spacing w:before="20" w:after="20"/>
              <w:rPr>
                <w:rFonts w:cs="Segoe UI"/>
                <w:sz w:val="17"/>
                <w:szCs w:val="17"/>
              </w:rPr>
            </w:pPr>
            <w:r w:rsidRPr="00331B2F">
              <w:rPr>
                <w:rFonts w:cs="Segoe UI"/>
                <w:sz w:val="17"/>
                <w:szCs w:val="17"/>
              </w:rPr>
              <w:t>19a</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Pr>
                <w:rFonts w:cs="Segoe UI"/>
                <w:sz w:val="17"/>
                <w:szCs w:val="17"/>
                <w:lang w:eastAsia="en-GB"/>
              </w:rPr>
              <w:t xml:space="preserve">Of which </w:t>
            </w:r>
            <w:r w:rsidRPr="00331B2F">
              <w:rPr>
                <w:rFonts w:cs="Segoe UI"/>
                <w:sz w:val="17"/>
                <w:szCs w:val="17"/>
                <w:lang w:eastAsia="en-GB"/>
              </w:rPr>
              <w:t>SEC-FBA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F414FC" w:rsidRDefault="002A0515" w:rsidP="00A54BE4">
            <w:pPr>
              <w:keepLines/>
              <w:tabs>
                <w:tab w:val="left" w:pos="397"/>
                <w:tab w:val="left" w:pos="794"/>
                <w:tab w:val="left" w:pos="1191"/>
              </w:tabs>
              <w:snapToGrid w:val="0"/>
              <w:spacing w:before="20" w:after="20"/>
              <w:rPr>
                <w:rFonts w:cs="Segoe UI"/>
                <w:sz w:val="17"/>
                <w:szCs w:val="17"/>
              </w:rPr>
            </w:pPr>
            <w:r w:rsidRPr="00F414FC">
              <w:rPr>
                <w:rFonts w:cs="Segoe UI" w:hint="eastAsia"/>
                <w:sz w:val="17"/>
                <w:szCs w:val="17"/>
              </w:rPr>
              <w:t>20</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Market risk</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F414FC" w:rsidRDefault="002A0515" w:rsidP="00A54BE4">
            <w:pPr>
              <w:keepLines/>
              <w:tabs>
                <w:tab w:val="left" w:pos="397"/>
                <w:tab w:val="left" w:pos="794"/>
                <w:tab w:val="left" w:pos="1191"/>
              </w:tabs>
              <w:snapToGrid w:val="0"/>
              <w:spacing w:before="20" w:after="20"/>
              <w:rPr>
                <w:rFonts w:cs="Segoe UI"/>
                <w:sz w:val="17"/>
                <w:szCs w:val="17"/>
              </w:rPr>
            </w:pPr>
            <w:r w:rsidRPr="00F414FC">
              <w:rPr>
                <w:rFonts w:cs="Segoe UI" w:hint="eastAsia"/>
                <w:sz w:val="17"/>
                <w:szCs w:val="17"/>
              </w:rPr>
              <w:t>21</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STM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F414FC" w:rsidRDefault="002A0515" w:rsidP="00A54BE4">
            <w:pPr>
              <w:keepLines/>
              <w:tabs>
                <w:tab w:val="left" w:pos="397"/>
                <w:tab w:val="left" w:pos="794"/>
                <w:tab w:val="left" w:pos="1191"/>
              </w:tabs>
              <w:snapToGrid w:val="0"/>
              <w:spacing w:before="20" w:after="20"/>
              <w:rPr>
                <w:rFonts w:cs="Segoe UI"/>
                <w:sz w:val="17"/>
                <w:szCs w:val="17"/>
              </w:rPr>
            </w:pPr>
            <w:r w:rsidRPr="00F414FC">
              <w:rPr>
                <w:rFonts w:cs="Segoe UI" w:hint="eastAsia"/>
                <w:sz w:val="17"/>
                <w:szCs w:val="17"/>
              </w:rPr>
              <w:t>22</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ind w:firstLine="323"/>
              <w:rPr>
                <w:rFonts w:cs="Segoe UI"/>
                <w:sz w:val="17"/>
                <w:szCs w:val="17"/>
                <w:lang w:eastAsia="en-GB"/>
              </w:rPr>
            </w:pPr>
            <w:r w:rsidRPr="004E457E">
              <w:rPr>
                <w:rFonts w:cs="Segoe UI"/>
                <w:sz w:val="17"/>
                <w:szCs w:val="17"/>
                <w:lang w:eastAsia="en-GB"/>
              </w:rPr>
              <w:t>Of which IMM approach</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775EFE" w:rsidRDefault="002A0515" w:rsidP="00A54BE4">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23</w:t>
            </w:r>
          </w:p>
        </w:tc>
        <w:tc>
          <w:tcPr>
            <w:tcW w:w="5245" w:type="dxa"/>
            <w:tcBorders>
              <w:left w:val="single" w:sz="4" w:space="0" w:color="auto"/>
              <w:right w:val="single" w:sz="4" w:space="0" w:color="auto"/>
            </w:tcBorders>
          </w:tcPr>
          <w:p w:rsidR="002A0515" w:rsidRPr="00FE4698" w:rsidRDefault="002A0515" w:rsidP="00A54BE4">
            <w:pPr>
              <w:keepLines/>
              <w:tabs>
                <w:tab w:val="left" w:pos="397"/>
                <w:tab w:val="left" w:pos="794"/>
                <w:tab w:val="left" w:pos="1191"/>
              </w:tabs>
              <w:snapToGrid w:val="0"/>
              <w:spacing w:before="20" w:after="20"/>
              <w:rPr>
                <w:rFonts w:cs="Segoe UI"/>
                <w:sz w:val="17"/>
                <w:szCs w:val="17"/>
              </w:rPr>
            </w:pPr>
            <w:r w:rsidRPr="00FE4698">
              <w:rPr>
                <w:rFonts w:cs="Segoe UI"/>
                <w:sz w:val="17"/>
                <w:szCs w:val="17"/>
                <w:lang w:eastAsia="en-GB"/>
              </w:rPr>
              <w:t>Capital charge for switch between exposures in trading book and banking book (not applicable before the revised market risk framework takes effect)</w:t>
            </w:r>
            <w:r>
              <w:rPr>
                <w:rFonts w:cs="Segoe UI"/>
                <w:sz w:val="17"/>
                <w:szCs w:val="17"/>
                <w:lang w:eastAsia="en-GB"/>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2A0515" w:rsidRPr="002705AD"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FE4698"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FE4698"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775EFE" w:rsidRDefault="002A0515" w:rsidP="00A54BE4">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24</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Operational risk</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775EFE" w:rsidRDefault="002A0515" w:rsidP="00A54BE4">
            <w:pPr>
              <w:keepLines/>
              <w:tabs>
                <w:tab w:val="left" w:pos="397"/>
                <w:tab w:val="left" w:pos="794"/>
                <w:tab w:val="left" w:pos="1191"/>
              </w:tabs>
              <w:snapToGrid w:val="0"/>
              <w:spacing w:before="20" w:after="20"/>
              <w:rPr>
                <w:rFonts w:cs="Segoe UI"/>
                <w:sz w:val="17"/>
                <w:szCs w:val="17"/>
              </w:rPr>
            </w:pPr>
            <w:r>
              <w:rPr>
                <w:rFonts w:cs="Segoe UI"/>
                <w:sz w:val="17"/>
                <w:szCs w:val="17"/>
              </w:rPr>
              <w:t>24a</w:t>
            </w:r>
          </w:p>
        </w:tc>
        <w:tc>
          <w:tcPr>
            <w:tcW w:w="5245" w:type="dxa"/>
            <w:tcBorders>
              <w:left w:val="single" w:sz="4" w:space="0" w:color="auto"/>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r>
              <w:rPr>
                <w:rFonts w:cs="Segoe UI"/>
                <w:sz w:val="17"/>
                <w:szCs w:val="17"/>
                <w:lang w:eastAsia="en-GB"/>
              </w:rPr>
              <w:t>Sovereign concentration risk</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775EFE" w:rsidRDefault="002A0515" w:rsidP="00A54BE4">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25</w:t>
            </w:r>
          </w:p>
        </w:tc>
        <w:tc>
          <w:tcPr>
            <w:tcW w:w="5245" w:type="dxa"/>
            <w:tcBorders>
              <w:left w:val="single" w:sz="4" w:space="0" w:color="auto"/>
              <w:bottom w:val="single" w:sz="4" w:space="0" w:color="BCBDBC"/>
              <w:right w:val="single" w:sz="4" w:space="0" w:color="auto"/>
            </w:tcBorders>
          </w:tcPr>
          <w:p w:rsidR="002A0515" w:rsidRPr="008D345C" w:rsidRDefault="002A0515" w:rsidP="00A54BE4">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Amounts below the thresholds for deduction (subject to 250% RW)</w:t>
            </w:r>
          </w:p>
        </w:tc>
        <w:tc>
          <w:tcPr>
            <w:tcW w:w="921" w:type="dxa"/>
            <w:tcBorders>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775EFE" w:rsidRDefault="002A0515" w:rsidP="00A54BE4">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w:t>
            </w:r>
          </w:p>
        </w:tc>
        <w:tc>
          <w:tcPr>
            <w:tcW w:w="5245" w:type="dxa"/>
            <w:tcBorders>
              <w:left w:val="single" w:sz="4" w:space="0" w:color="auto"/>
              <w:bottom w:val="single" w:sz="4" w:space="0" w:color="BCBDBC"/>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Capital floor adjustment</w:t>
            </w:r>
          </w:p>
        </w:tc>
        <w:tc>
          <w:tcPr>
            <w:tcW w:w="921" w:type="dxa"/>
            <w:tcBorders>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775EFE" w:rsidRDefault="002A0515" w:rsidP="00A54BE4">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26a</w:t>
            </w:r>
          </w:p>
        </w:tc>
        <w:tc>
          <w:tcPr>
            <w:tcW w:w="5245" w:type="dxa"/>
            <w:tcBorders>
              <w:left w:val="single" w:sz="4" w:space="0" w:color="auto"/>
              <w:bottom w:val="single" w:sz="4" w:space="0" w:color="BCBDBC"/>
              <w:right w:val="single" w:sz="4" w:space="0" w:color="auto"/>
            </w:tcBorders>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r w:rsidRPr="004E457E">
              <w:rPr>
                <w:rFonts w:cs="Segoe UI"/>
                <w:sz w:val="17"/>
                <w:szCs w:val="17"/>
                <w:lang w:eastAsia="en-GB"/>
              </w:rPr>
              <w:t>Deduction to RWA</w:t>
            </w:r>
          </w:p>
        </w:tc>
        <w:tc>
          <w:tcPr>
            <w:tcW w:w="921" w:type="dxa"/>
            <w:tcBorders>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775EFE" w:rsidRDefault="002A0515" w:rsidP="00A54BE4">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26b</w:t>
            </w:r>
          </w:p>
        </w:tc>
        <w:tc>
          <w:tcPr>
            <w:tcW w:w="5245" w:type="dxa"/>
            <w:tcBorders>
              <w:left w:val="single" w:sz="4" w:space="0" w:color="auto"/>
              <w:bottom w:val="single" w:sz="4" w:space="0" w:color="BCBDBC"/>
              <w:right w:val="single" w:sz="4" w:space="0" w:color="auto"/>
            </w:tcBorders>
          </w:tcPr>
          <w:p w:rsidR="002A0515" w:rsidRPr="004E457E" w:rsidRDefault="002A0515" w:rsidP="00A54BE4">
            <w:pPr>
              <w:keepLines/>
              <w:tabs>
                <w:tab w:val="left" w:pos="397"/>
                <w:tab w:val="left" w:pos="794"/>
                <w:tab w:val="left" w:pos="1191"/>
              </w:tabs>
              <w:snapToGrid w:val="0"/>
              <w:spacing w:before="20" w:after="20"/>
              <w:ind w:leftChars="159" w:left="318"/>
              <w:rPr>
                <w:rFonts w:cs="Segoe UI"/>
                <w:sz w:val="17"/>
                <w:szCs w:val="17"/>
                <w:lang w:eastAsia="en-GB"/>
              </w:rPr>
            </w:pPr>
            <w:r w:rsidRPr="004E457E">
              <w:rPr>
                <w:rFonts w:cs="Segoe UI"/>
                <w:sz w:val="17"/>
                <w:szCs w:val="17"/>
                <w:lang w:eastAsia="en-GB"/>
              </w:rPr>
              <w:t>Of which portion of regulatory reserve for general banking risks and collective provisions which is not included in Tier 2 Capital</w:t>
            </w:r>
          </w:p>
        </w:tc>
        <w:tc>
          <w:tcPr>
            <w:tcW w:w="921" w:type="dxa"/>
            <w:tcBorders>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c>
          <w:tcPr>
            <w:tcW w:w="567" w:type="dxa"/>
            <w:tcBorders>
              <w:left w:val="nil"/>
              <w:right w:val="single" w:sz="4" w:space="0" w:color="auto"/>
            </w:tcBorders>
          </w:tcPr>
          <w:p w:rsidR="002A0515" w:rsidRPr="00775EFE" w:rsidRDefault="002A0515" w:rsidP="00A54BE4">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26c</w:t>
            </w:r>
          </w:p>
        </w:tc>
        <w:tc>
          <w:tcPr>
            <w:tcW w:w="5245" w:type="dxa"/>
            <w:tcBorders>
              <w:left w:val="single" w:sz="4" w:space="0" w:color="auto"/>
              <w:bottom w:val="single" w:sz="4" w:space="0" w:color="BCBDBC"/>
              <w:right w:val="single" w:sz="4" w:space="0" w:color="auto"/>
            </w:tcBorders>
          </w:tcPr>
          <w:p w:rsidR="002A0515" w:rsidRPr="004E457E" w:rsidRDefault="002A0515" w:rsidP="00A54BE4">
            <w:pPr>
              <w:keepLines/>
              <w:tabs>
                <w:tab w:val="left" w:pos="397"/>
                <w:tab w:val="left" w:pos="794"/>
                <w:tab w:val="left" w:pos="1191"/>
              </w:tabs>
              <w:snapToGrid w:val="0"/>
              <w:spacing w:before="20" w:after="20"/>
              <w:ind w:leftChars="159" w:left="318"/>
              <w:rPr>
                <w:rFonts w:cs="Segoe UI"/>
                <w:sz w:val="17"/>
                <w:szCs w:val="17"/>
                <w:lang w:eastAsia="en-GB"/>
              </w:rPr>
            </w:pPr>
            <w:r w:rsidRPr="004E457E">
              <w:rPr>
                <w:rFonts w:cs="Segoe UI"/>
                <w:sz w:val="17"/>
                <w:szCs w:val="17"/>
                <w:lang w:eastAsia="en-GB"/>
              </w:rPr>
              <w:t>Of which portion of cumulative fair value gains arising from the revaluation of land and buildings which is not included in Tier 2 Capital</w:t>
            </w:r>
          </w:p>
        </w:tc>
        <w:tc>
          <w:tcPr>
            <w:tcW w:w="921" w:type="dxa"/>
            <w:tcBorders>
              <w:left w:val="single" w:sz="4" w:space="0" w:color="auto"/>
              <w:bottom w:val="single" w:sz="4" w:space="0" w:color="BFBFBF"/>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rPr>
          <w:trHeight w:val="281"/>
        </w:trPr>
        <w:tc>
          <w:tcPr>
            <w:tcW w:w="567" w:type="dxa"/>
            <w:tcBorders>
              <w:left w:val="nil"/>
              <w:bottom w:val="single" w:sz="4" w:space="0" w:color="auto"/>
              <w:right w:val="single" w:sz="4" w:space="0" w:color="auto"/>
            </w:tcBorders>
          </w:tcPr>
          <w:p w:rsidR="002A0515" w:rsidRPr="00775EFE" w:rsidRDefault="002A0515" w:rsidP="00A54BE4">
            <w:pPr>
              <w:keepLines/>
              <w:tabs>
                <w:tab w:val="left" w:pos="397"/>
                <w:tab w:val="left" w:pos="794"/>
                <w:tab w:val="left" w:pos="1191"/>
              </w:tabs>
              <w:snapToGrid w:val="0"/>
              <w:spacing w:before="20" w:after="20"/>
              <w:rPr>
                <w:rFonts w:cs="Segoe UI"/>
                <w:sz w:val="17"/>
                <w:szCs w:val="17"/>
              </w:rPr>
            </w:pPr>
            <w:r w:rsidRPr="00775EFE">
              <w:rPr>
                <w:rFonts w:cs="Segoe UI" w:hint="eastAsia"/>
                <w:sz w:val="17"/>
                <w:szCs w:val="17"/>
              </w:rPr>
              <w:t>27</w:t>
            </w:r>
          </w:p>
        </w:tc>
        <w:tc>
          <w:tcPr>
            <w:tcW w:w="5245" w:type="dxa"/>
            <w:tcBorders>
              <w:left w:val="single" w:sz="4" w:space="0" w:color="auto"/>
              <w:bottom w:val="single" w:sz="4" w:space="0" w:color="auto"/>
              <w:right w:val="single" w:sz="4" w:space="0" w:color="auto"/>
            </w:tcBorders>
            <w:vAlign w:val="center"/>
          </w:tcPr>
          <w:p w:rsidR="002A0515" w:rsidRPr="004E457E" w:rsidRDefault="002A0515" w:rsidP="00A54BE4">
            <w:pPr>
              <w:keepLines/>
              <w:tabs>
                <w:tab w:val="left" w:pos="397"/>
                <w:tab w:val="left" w:pos="794"/>
                <w:tab w:val="left" w:pos="1191"/>
              </w:tabs>
              <w:snapToGrid w:val="0"/>
              <w:spacing w:before="20" w:after="20"/>
              <w:rPr>
                <w:rFonts w:cs="Segoe UI"/>
                <w:noProof/>
                <w:sz w:val="17"/>
                <w:szCs w:val="17"/>
                <w:lang w:eastAsia="en-GB"/>
              </w:rPr>
            </w:pPr>
            <w:r w:rsidRPr="004E457E">
              <w:rPr>
                <w:rFonts w:cs="Segoe UI"/>
                <w:sz w:val="17"/>
                <w:szCs w:val="17"/>
                <w:lang w:eastAsia="en-GB"/>
              </w:rPr>
              <w:t>Total</w:t>
            </w:r>
          </w:p>
        </w:tc>
        <w:tc>
          <w:tcPr>
            <w:tcW w:w="921" w:type="dxa"/>
            <w:tcBorders>
              <w:top w:val="single" w:sz="4" w:space="0" w:color="BFBFBF"/>
              <w:left w:val="single" w:sz="4" w:space="0" w:color="auto"/>
              <w:bottom w:val="single" w:sz="4" w:space="0" w:color="auto"/>
              <w:right w:val="single" w:sz="4" w:space="0" w:color="auto"/>
            </w:tcBorders>
            <w:shd w:val="clear" w:color="auto" w:fill="auto"/>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auto"/>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auto"/>
              <w:right w:val="single" w:sz="4" w:space="0" w:color="auto"/>
            </w:tcBorders>
            <w:shd w:val="clear" w:color="auto" w:fill="FFFFFF"/>
          </w:tcPr>
          <w:p w:rsidR="002A0515" w:rsidRPr="004E457E" w:rsidRDefault="002A0515" w:rsidP="00A54BE4">
            <w:pPr>
              <w:keepLines/>
              <w:tabs>
                <w:tab w:val="left" w:pos="397"/>
                <w:tab w:val="left" w:pos="794"/>
                <w:tab w:val="left" w:pos="1191"/>
              </w:tabs>
              <w:snapToGrid w:val="0"/>
              <w:spacing w:before="20" w:after="20"/>
              <w:rPr>
                <w:rFonts w:cs="Segoe UI"/>
                <w:sz w:val="17"/>
                <w:szCs w:val="17"/>
                <w:lang w:eastAsia="en-GB"/>
              </w:rPr>
            </w:pPr>
          </w:p>
        </w:tc>
      </w:tr>
      <w:tr w:rsidR="002A0515" w:rsidRPr="004E457E" w:rsidTr="00A54BE4">
        <w:trPr>
          <w:trHeight w:val="281"/>
        </w:trPr>
        <w:tc>
          <w:tcPr>
            <w:tcW w:w="9214" w:type="dxa"/>
            <w:gridSpan w:val="5"/>
            <w:tcBorders>
              <w:top w:val="single" w:sz="4" w:space="0" w:color="auto"/>
              <w:left w:val="nil"/>
              <w:bottom w:val="single" w:sz="4" w:space="0" w:color="auto"/>
              <w:right w:val="single" w:sz="4" w:space="0" w:color="auto"/>
            </w:tcBorders>
          </w:tcPr>
          <w:p w:rsidR="002A0515" w:rsidRPr="002705AD" w:rsidRDefault="002A0515" w:rsidP="00A54BE4">
            <w:pPr>
              <w:keepLines/>
              <w:tabs>
                <w:tab w:val="left" w:pos="397"/>
                <w:tab w:val="left" w:pos="794"/>
                <w:tab w:val="left" w:pos="1191"/>
              </w:tabs>
              <w:snapToGrid w:val="0"/>
              <w:spacing w:before="20" w:after="20"/>
              <w:rPr>
                <w:rFonts w:cs="Segoe UI"/>
                <w:i/>
                <w:sz w:val="16"/>
                <w:szCs w:val="16"/>
                <w:lang w:eastAsia="en-GB"/>
              </w:rPr>
            </w:pPr>
            <w:r w:rsidRPr="002705AD">
              <w:rPr>
                <w:rFonts w:cs="Segoe UI"/>
                <w:i/>
                <w:sz w:val="16"/>
                <w:szCs w:val="16"/>
                <w:lang w:eastAsia="en-GB"/>
              </w:rPr>
              <w:t>Point to note:</w:t>
            </w:r>
          </w:p>
          <w:p w:rsidR="002A0515" w:rsidRPr="002705AD" w:rsidRDefault="002A0515" w:rsidP="002A0515">
            <w:pPr>
              <w:pStyle w:val="ListParagraph"/>
              <w:keepLines/>
              <w:widowControl w:val="0"/>
              <w:numPr>
                <w:ilvl w:val="0"/>
                <w:numId w:val="79"/>
              </w:numPr>
              <w:snapToGrid w:val="0"/>
              <w:spacing w:before="20" w:after="20"/>
              <w:ind w:leftChars="0" w:left="317" w:hanging="317"/>
              <w:jc w:val="both"/>
              <w:rPr>
                <w:rFonts w:cs="Segoe UI"/>
                <w:sz w:val="17"/>
                <w:szCs w:val="17"/>
                <w:lang w:eastAsia="en-GB"/>
              </w:rPr>
            </w:pPr>
            <w:r w:rsidRPr="002705AD">
              <w:rPr>
                <w:rFonts w:cs="Segoe UI"/>
                <w:i/>
                <w:sz w:val="16"/>
                <w:szCs w:val="16"/>
                <w:lang w:eastAsia="en-GB"/>
              </w:rPr>
              <w:t xml:space="preserve">Items marked with an asterisk </w:t>
            </w:r>
            <w:r>
              <w:rPr>
                <w:rFonts w:cs="Segoe UI"/>
                <w:i/>
                <w:sz w:val="16"/>
                <w:szCs w:val="16"/>
                <w:lang w:eastAsia="en-GB"/>
              </w:rPr>
              <w:t xml:space="preserve">(*) </w:t>
            </w:r>
            <w:r w:rsidRPr="002705AD">
              <w:rPr>
                <w:rFonts w:cs="Segoe UI"/>
                <w:i/>
                <w:sz w:val="16"/>
                <w:szCs w:val="16"/>
                <w:lang w:eastAsia="en-GB"/>
              </w:rPr>
              <w:t>will be applicable only after their respective policy frameworks take effect.</w:t>
            </w:r>
            <w:r>
              <w:rPr>
                <w:rFonts w:cs="Segoe UI"/>
                <w:i/>
                <w:sz w:val="16"/>
                <w:szCs w:val="16"/>
                <w:lang w:eastAsia="en-GB"/>
              </w:rPr>
              <w:t xml:space="preserve"> Until then, “Not applicable” should be reported in the rows.</w:t>
            </w:r>
          </w:p>
        </w:tc>
      </w:tr>
    </w:tbl>
    <w:p w:rsidR="002A0515" w:rsidRPr="004E457E" w:rsidRDefault="002A0515" w:rsidP="002A0515">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2A0515" w:rsidRPr="004E457E" w:rsidTr="00A54BE4">
        <w:trPr>
          <w:tblHeader/>
        </w:trPr>
        <w:tc>
          <w:tcPr>
            <w:tcW w:w="9214" w:type="dxa"/>
            <w:gridSpan w:val="2"/>
            <w:shd w:val="clear" w:color="auto" w:fill="BFBFBF"/>
          </w:tcPr>
          <w:p w:rsidR="002A0515" w:rsidRPr="004E457E" w:rsidRDefault="002A0515" w:rsidP="00A54BE4">
            <w:pPr>
              <w:keepLines/>
              <w:tabs>
                <w:tab w:val="left" w:pos="150"/>
                <w:tab w:val="left" w:pos="397"/>
                <w:tab w:val="left" w:pos="794"/>
                <w:tab w:val="left" w:pos="1191"/>
              </w:tabs>
              <w:spacing w:before="40" w:after="40"/>
              <w:rPr>
                <w:rFonts w:eastAsia="新細明體"/>
                <w:b/>
                <w:sz w:val="17"/>
                <w:lang w:eastAsia="en-GB"/>
              </w:rPr>
            </w:pPr>
            <w:r w:rsidRPr="004E457E">
              <w:rPr>
                <w:rFonts w:eastAsia="新細明體"/>
                <w:b/>
                <w:sz w:val="17"/>
                <w:lang w:eastAsia="en-GB"/>
              </w:rPr>
              <w:t>Explanatory Note</w:t>
            </w:r>
          </w:p>
        </w:tc>
      </w:tr>
      <w:tr w:rsidR="002A0515" w:rsidRPr="004E457E" w:rsidTr="00A54BE4">
        <w:trPr>
          <w:trHeight w:val="153"/>
        </w:trPr>
        <w:tc>
          <w:tcPr>
            <w:tcW w:w="9214" w:type="dxa"/>
            <w:gridSpan w:val="2"/>
            <w:shd w:val="clear" w:color="auto" w:fill="F2F2F2"/>
          </w:tcPr>
          <w:p w:rsidR="002A0515" w:rsidRPr="004E457E" w:rsidRDefault="002A0515" w:rsidP="00A54BE4">
            <w:pPr>
              <w:keepLines/>
              <w:tabs>
                <w:tab w:val="left" w:pos="150"/>
                <w:tab w:val="left" w:pos="397"/>
                <w:tab w:val="left" w:pos="794"/>
                <w:tab w:val="left" w:pos="1191"/>
              </w:tabs>
              <w:spacing w:before="40" w:after="40"/>
              <w:rPr>
                <w:rFonts w:eastAsia="新細明體"/>
                <w:b/>
                <w:sz w:val="17"/>
                <w:lang w:eastAsia="en-GB"/>
              </w:rPr>
            </w:pPr>
            <w:r w:rsidRPr="004E457E">
              <w:rPr>
                <w:rFonts w:eastAsia="新細明體"/>
                <w:b/>
                <w:sz w:val="17"/>
                <w:lang w:eastAsia="en-GB"/>
              </w:rPr>
              <w:t>Columns</w:t>
            </w:r>
          </w:p>
        </w:tc>
      </w:tr>
      <w:tr w:rsidR="002A0515" w:rsidRPr="004E457E" w:rsidTr="00A54BE4">
        <w:tc>
          <w:tcPr>
            <w:tcW w:w="567" w:type="dxa"/>
            <w:shd w:val="clear" w:color="auto" w:fill="auto"/>
          </w:tcPr>
          <w:p w:rsidR="002A0515" w:rsidRPr="004E457E" w:rsidRDefault="002A0515" w:rsidP="00A54BE4">
            <w:pPr>
              <w:keepLines/>
              <w:tabs>
                <w:tab w:val="left" w:pos="150"/>
                <w:tab w:val="left" w:pos="397"/>
                <w:tab w:val="left" w:pos="794"/>
                <w:tab w:val="left" w:pos="1191"/>
              </w:tabs>
              <w:spacing w:before="40" w:after="40"/>
              <w:rPr>
                <w:rFonts w:cs="Segoe UI"/>
                <w:sz w:val="17"/>
                <w:szCs w:val="17"/>
                <w:lang w:eastAsia="en-GB"/>
              </w:rPr>
            </w:pPr>
            <w:r w:rsidRPr="004E457E">
              <w:rPr>
                <w:rFonts w:cs="Segoe UI"/>
                <w:sz w:val="17"/>
                <w:szCs w:val="17"/>
                <w:lang w:eastAsia="en-GB"/>
              </w:rPr>
              <w:t>(a)</w:t>
            </w:r>
          </w:p>
        </w:tc>
        <w:tc>
          <w:tcPr>
            <w:tcW w:w="8647" w:type="dxa"/>
            <w:shd w:val="clear" w:color="auto" w:fill="auto"/>
          </w:tcPr>
          <w:p w:rsidR="002A0515" w:rsidRPr="004E457E" w:rsidRDefault="002A0515" w:rsidP="00A54BE4">
            <w:pPr>
              <w:keepLines/>
              <w:tabs>
                <w:tab w:val="left" w:pos="150"/>
                <w:tab w:val="left" w:pos="397"/>
                <w:tab w:val="left" w:pos="794"/>
                <w:tab w:val="left" w:pos="1191"/>
              </w:tabs>
              <w:spacing w:before="40" w:after="40"/>
              <w:jc w:val="both"/>
              <w:rPr>
                <w:rFonts w:cs="Segoe UI"/>
                <w:sz w:val="17"/>
                <w:szCs w:val="17"/>
                <w:lang w:eastAsia="en-GB"/>
              </w:rPr>
            </w:pPr>
            <w:bookmarkStart w:id="1" w:name="_Toc404082824"/>
            <w:bookmarkStart w:id="2" w:name="_Toc404327946"/>
            <w:r w:rsidRPr="004E457E">
              <w:rPr>
                <w:rFonts w:cs="Segoe UI"/>
                <w:i/>
                <w:sz w:val="17"/>
                <w:szCs w:val="17"/>
              </w:rPr>
              <w:t>RWA (T)</w:t>
            </w:r>
            <w:r w:rsidRPr="004E457E">
              <w:rPr>
                <w:rFonts w:cs="Segoe UI"/>
                <w:sz w:val="17"/>
                <w:szCs w:val="17"/>
              </w:rPr>
              <w:t>:</w:t>
            </w:r>
            <w:r w:rsidRPr="004E457E">
              <w:rPr>
                <w:rFonts w:cs="Segoe UI"/>
                <w:i/>
                <w:sz w:val="17"/>
                <w:szCs w:val="17"/>
              </w:rPr>
              <w:t xml:space="preserve"> </w:t>
            </w:r>
            <w:r w:rsidRPr="004E457E">
              <w:rPr>
                <w:rFonts w:cs="Segoe UI"/>
                <w:sz w:val="17"/>
                <w:szCs w:val="17"/>
              </w:rPr>
              <w:t>RWA referred to in the BCR</w:t>
            </w:r>
            <w:r>
              <w:rPr>
                <w:rFonts w:cs="Segoe UI"/>
                <w:sz w:val="17"/>
                <w:szCs w:val="17"/>
              </w:rPr>
              <w:t xml:space="preserve"> </w:t>
            </w:r>
            <w:r w:rsidRPr="004E457E">
              <w:rPr>
                <w:rFonts w:cs="Segoe UI"/>
                <w:sz w:val="17"/>
                <w:szCs w:val="17"/>
              </w:rPr>
              <w:t xml:space="preserve">and as reported in accordance with the subsequent parts of this document.  Where the output of a calculation approach is a capital charge instead of a RWA (e.g. the approaches for market risk and operational risk), an AI should calculate the RWA by multiplying capital charge by </w:t>
            </w:r>
            <w:r w:rsidRPr="00303B03">
              <w:rPr>
                <w:rFonts w:cs="Segoe UI"/>
                <w:sz w:val="17"/>
                <w:szCs w:val="17"/>
              </w:rPr>
              <w:t>12.5.</w:t>
            </w:r>
            <w:bookmarkEnd w:id="1"/>
            <w:bookmarkEnd w:id="2"/>
          </w:p>
        </w:tc>
      </w:tr>
      <w:tr w:rsidR="002A0515" w:rsidRPr="004E457E" w:rsidTr="00A54BE4">
        <w:trPr>
          <w:trHeight w:val="373"/>
        </w:trPr>
        <w:tc>
          <w:tcPr>
            <w:tcW w:w="567" w:type="dxa"/>
            <w:shd w:val="clear" w:color="auto" w:fill="auto"/>
          </w:tcPr>
          <w:p w:rsidR="002A0515" w:rsidRPr="004E457E" w:rsidRDefault="002A0515" w:rsidP="00A54BE4">
            <w:pPr>
              <w:keepLines/>
              <w:tabs>
                <w:tab w:val="left" w:pos="150"/>
                <w:tab w:val="left" w:pos="397"/>
                <w:tab w:val="left" w:pos="794"/>
                <w:tab w:val="left" w:pos="1191"/>
              </w:tabs>
              <w:spacing w:before="40" w:after="40"/>
              <w:rPr>
                <w:rFonts w:cs="Segoe UI"/>
                <w:sz w:val="17"/>
                <w:szCs w:val="17"/>
                <w:lang w:eastAsia="en-GB"/>
              </w:rPr>
            </w:pPr>
            <w:r w:rsidRPr="004E457E">
              <w:rPr>
                <w:rFonts w:cs="Segoe UI"/>
                <w:sz w:val="17"/>
                <w:szCs w:val="17"/>
                <w:lang w:eastAsia="en-GB"/>
              </w:rPr>
              <w:t>(b)</w:t>
            </w:r>
          </w:p>
        </w:tc>
        <w:tc>
          <w:tcPr>
            <w:tcW w:w="8647" w:type="dxa"/>
            <w:shd w:val="clear" w:color="auto" w:fill="auto"/>
          </w:tcPr>
          <w:p w:rsidR="002A0515" w:rsidRPr="004E457E" w:rsidRDefault="002A0515" w:rsidP="00A54BE4">
            <w:pPr>
              <w:keepLines/>
              <w:tabs>
                <w:tab w:val="left" w:pos="150"/>
                <w:tab w:val="left" w:pos="397"/>
                <w:tab w:val="left" w:pos="794"/>
                <w:tab w:val="left" w:pos="1191"/>
              </w:tabs>
              <w:spacing w:before="40" w:after="40"/>
              <w:jc w:val="both"/>
              <w:rPr>
                <w:rFonts w:cs="Segoe UI"/>
                <w:sz w:val="17"/>
                <w:szCs w:val="17"/>
                <w:lang w:eastAsia="en-GB"/>
              </w:rPr>
            </w:pPr>
            <w:r w:rsidRPr="004E457E">
              <w:rPr>
                <w:rFonts w:cs="Segoe UI"/>
                <w:i/>
                <w:sz w:val="17"/>
                <w:szCs w:val="17"/>
              </w:rPr>
              <w:t>RWA (T-1)</w:t>
            </w:r>
            <w:r w:rsidRPr="004E457E">
              <w:rPr>
                <w:rFonts w:cs="Segoe UI"/>
                <w:sz w:val="17"/>
                <w:szCs w:val="17"/>
              </w:rPr>
              <w:t>:</w:t>
            </w:r>
            <w:r w:rsidRPr="004E457E">
              <w:rPr>
                <w:rFonts w:cs="Segoe UI"/>
                <w:i/>
                <w:sz w:val="17"/>
                <w:szCs w:val="17"/>
              </w:rPr>
              <w:t xml:space="preserve"> </w:t>
            </w:r>
            <w:r w:rsidRPr="004E457E">
              <w:rPr>
                <w:rFonts w:cs="Segoe UI"/>
                <w:sz w:val="17"/>
                <w:szCs w:val="17"/>
              </w:rPr>
              <w:t>RWA as reported in the previous reporting period (i.e. at the end of the previous quarter) of this template.</w:t>
            </w:r>
          </w:p>
        </w:tc>
      </w:tr>
      <w:tr w:rsidR="002A0515" w:rsidRPr="004E457E" w:rsidTr="00A54BE4">
        <w:tc>
          <w:tcPr>
            <w:tcW w:w="567" w:type="dxa"/>
            <w:shd w:val="clear" w:color="auto" w:fill="auto"/>
          </w:tcPr>
          <w:p w:rsidR="002A0515" w:rsidRPr="004E457E" w:rsidRDefault="002A0515" w:rsidP="00A54BE4">
            <w:pPr>
              <w:keepLines/>
              <w:tabs>
                <w:tab w:val="left" w:pos="150"/>
                <w:tab w:val="left" w:pos="397"/>
                <w:tab w:val="left" w:pos="794"/>
                <w:tab w:val="left" w:pos="1191"/>
              </w:tabs>
              <w:spacing w:before="40" w:after="40"/>
              <w:rPr>
                <w:rFonts w:cs="Segoe UI"/>
                <w:sz w:val="17"/>
                <w:szCs w:val="17"/>
                <w:lang w:eastAsia="en-GB"/>
              </w:rPr>
            </w:pPr>
            <w:r w:rsidRPr="004E457E">
              <w:rPr>
                <w:rFonts w:cs="Segoe UI"/>
                <w:sz w:val="17"/>
                <w:szCs w:val="17"/>
                <w:lang w:eastAsia="en-GB"/>
              </w:rPr>
              <w:t>(c)</w:t>
            </w:r>
          </w:p>
        </w:tc>
        <w:tc>
          <w:tcPr>
            <w:tcW w:w="8647" w:type="dxa"/>
            <w:shd w:val="clear" w:color="auto" w:fill="auto"/>
          </w:tcPr>
          <w:p w:rsidR="002A0515" w:rsidRPr="004E457E" w:rsidRDefault="002A0515" w:rsidP="00A54BE4">
            <w:pPr>
              <w:keepLines/>
              <w:tabs>
                <w:tab w:val="left" w:pos="150"/>
                <w:tab w:val="left" w:pos="397"/>
                <w:tab w:val="left" w:pos="794"/>
                <w:tab w:val="left" w:pos="1191"/>
              </w:tabs>
              <w:spacing w:before="40" w:after="40"/>
              <w:jc w:val="both"/>
              <w:rPr>
                <w:rFonts w:cs="Segoe UI"/>
                <w:sz w:val="17"/>
                <w:szCs w:val="17"/>
                <w:lang w:eastAsia="en-GB"/>
              </w:rPr>
            </w:pPr>
            <w:bookmarkStart w:id="3" w:name="_Toc404082825"/>
            <w:bookmarkStart w:id="4" w:name="_Toc404327947"/>
            <w:r w:rsidRPr="004E457E">
              <w:rPr>
                <w:rFonts w:cs="Segoe UI"/>
                <w:i/>
                <w:sz w:val="17"/>
                <w:szCs w:val="17"/>
              </w:rPr>
              <w:t>Minimum capital requirement</w:t>
            </w:r>
            <w:r>
              <w:rPr>
                <w:rFonts w:cs="Segoe UI"/>
                <w:i/>
                <w:sz w:val="17"/>
                <w:szCs w:val="17"/>
              </w:rPr>
              <w:t>s</w:t>
            </w:r>
            <w:r w:rsidRPr="004E457E">
              <w:rPr>
                <w:rFonts w:cs="Segoe UI"/>
                <w:i/>
                <w:sz w:val="17"/>
                <w:szCs w:val="17"/>
              </w:rPr>
              <w:t xml:space="preserve"> (T): </w:t>
            </w:r>
            <w:r w:rsidRPr="004E457E">
              <w:rPr>
                <w:rFonts w:cs="Segoe UI"/>
                <w:sz w:val="17"/>
                <w:szCs w:val="17"/>
              </w:rPr>
              <w:t xml:space="preserve">Pillar 1 capital requirements, which in general are calculated as 8% of the RWA but may differ if a capital floor is applicable or adjustments (such as scaling factors) are applied </w:t>
            </w:r>
            <w:bookmarkEnd w:id="3"/>
            <w:bookmarkEnd w:id="4"/>
            <w:r w:rsidRPr="004E457E">
              <w:rPr>
                <w:rFonts w:cs="Segoe UI"/>
                <w:sz w:val="17"/>
                <w:szCs w:val="17"/>
              </w:rPr>
              <w:t xml:space="preserve">in accordance with the BCR, as of the reporting date.  </w:t>
            </w:r>
            <w:r w:rsidRPr="00F4169B">
              <w:rPr>
                <w:rFonts w:cs="Segoe UI"/>
                <w:sz w:val="17"/>
                <w:szCs w:val="17"/>
              </w:rPr>
              <w:t xml:space="preserve">Any such adjustments, if applicable, should be applied to all the applicable rows in column (c).  For example, an AI using the IRB approach for credit risk is required to apply a scaling factor of 1.06 as specified in section 224 of </w:t>
            </w:r>
            <w:r>
              <w:rPr>
                <w:rFonts w:cs="Segoe UI"/>
                <w:sz w:val="17"/>
                <w:szCs w:val="17"/>
              </w:rPr>
              <w:t xml:space="preserve">the </w:t>
            </w:r>
            <w:r w:rsidRPr="00F4169B">
              <w:rPr>
                <w:rFonts w:cs="Segoe UI"/>
                <w:sz w:val="17"/>
                <w:szCs w:val="17"/>
              </w:rPr>
              <w:t xml:space="preserve">BCR to column (c) of all the items the credit risk requirement of which are calculated in accordance with Part 6 of </w:t>
            </w:r>
            <w:r>
              <w:rPr>
                <w:rFonts w:cs="Segoe UI"/>
                <w:sz w:val="17"/>
                <w:szCs w:val="17"/>
              </w:rPr>
              <w:t>the BCR (i.e. RWA x 8% x 1.06).</w:t>
            </w:r>
            <w:r w:rsidRPr="00F4169B">
              <w:rPr>
                <w:rFonts w:cs="Segoe UI"/>
                <w:sz w:val="17"/>
                <w:szCs w:val="17"/>
              </w:rPr>
              <w:t xml:space="preserve"> </w:t>
            </w:r>
          </w:p>
        </w:tc>
      </w:tr>
      <w:tr w:rsidR="002A0515" w:rsidRPr="004E457E" w:rsidTr="00A54BE4">
        <w:tc>
          <w:tcPr>
            <w:tcW w:w="9214" w:type="dxa"/>
            <w:gridSpan w:val="2"/>
            <w:shd w:val="clear" w:color="auto" w:fill="F2F2F2"/>
          </w:tcPr>
          <w:p w:rsidR="002A0515" w:rsidRPr="004E457E" w:rsidRDefault="002A0515" w:rsidP="00A54BE4">
            <w:pPr>
              <w:keepNext/>
              <w:keepLines/>
              <w:tabs>
                <w:tab w:val="left" w:pos="150"/>
                <w:tab w:val="left" w:pos="397"/>
                <w:tab w:val="left" w:pos="794"/>
                <w:tab w:val="left" w:pos="1191"/>
              </w:tabs>
              <w:spacing w:before="40" w:after="40"/>
              <w:rPr>
                <w:rFonts w:eastAsia="新細明體"/>
                <w:b/>
                <w:sz w:val="17"/>
                <w:lang w:eastAsia="en-GB"/>
              </w:rPr>
            </w:pPr>
            <w:r w:rsidRPr="004E457E">
              <w:rPr>
                <w:rFonts w:eastAsia="新細明體"/>
                <w:b/>
                <w:sz w:val="17"/>
                <w:lang w:eastAsia="en-GB"/>
              </w:rPr>
              <w:t>Rows</w:t>
            </w:r>
          </w:p>
        </w:tc>
      </w:tr>
      <w:tr w:rsidR="002A0515" w:rsidRPr="004E457E" w:rsidTr="00A54BE4">
        <w:tc>
          <w:tcPr>
            <w:tcW w:w="567" w:type="dxa"/>
            <w:shd w:val="clear" w:color="auto" w:fill="auto"/>
          </w:tcPr>
          <w:p w:rsidR="002A0515" w:rsidRPr="00622192" w:rsidRDefault="002A0515" w:rsidP="00A54BE4">
            <w:pPr>
              <w:keepLines/>
              <w:tabs>
                <w:tab w:val="left" w:pos="150"/>
                <w:tab w:val="left" w:pos="397"/>
                <w:tab w:val="left" w:pos="794"/>
                <w:tab w:val="left" w:pos="1191"/>
              </w:tabs>
              <w:spacing w:before="40" w:after="40"/>
              <w:rPr>
                <w:rFonts w:cs="Segoe UI"/>
                <w:sz w:val="17"/>
                <w:szCs w:val="17"/>
                <w:highlight w:val="yellow"/>
              </w:rPr>
            </w:pPr>
            <w:r w:rsidRPr="00496EF9">
              <w:rPr>
                <w:rFonts w:cs="Segoe UI"/>
                <w:sz w:val="17"/>
                <w:szCs w:val="17"/>
              </w:rPr>
              <w:t>1</w:t>
            </w:r>
          </w:p>
        </w:tc>
        <w:tc>
          <w:tcPr>
            <w:tcW w:w="8647" w:type="dxa"/>
            <w:shd w:val="clear" w:color="auto" w:fill="auto"/>
          </w:tcPr>
          <w:p w:rsidR="002A0515" w:rsidRPr="00FE4698" w:rsidRDefault="002A0515" w:rsidP="00A54BE4">
            <w:pPr>
              <w:keepLines/>
              <w:tabs>
                <w:tab w:val="left" w:pos="150"/>
                <w:tab w:val="left" w:pos="397"/>
                <w:tab w:val="left" w:pos="794"/>
                <w:tab w:val="left" w:pos="1191"/>
              </w:tabs>
              <w:spacing w:before="40" w:after="40"/>
              <w:jc w:val="both"/>
              <w:rPr>
                <w:rFonts w:cs="Segoe UI"/>
                <w:sz w:val="17"/>
                <w:szCs w:val="17"/>
              </w:rPr>
            </w:pPr>
            <w:r w:rsidRPr="00FE4698">
              <w:rPr>
                <w:rFonts w:cs="Segoe UI"/>
                <w:i/>
                <w:sz w:val="17"/>
                <w:szCs w:val="17"/>
              </w:rPr>
              <w:t>Credit risk for non-securitization exposures</w:t>
            </w:r>
            <w:r w:rsidRPr="00FE4698">
              <w:rPr>
                <w:rFonts w:cs="Segoe UI"/>
                <w:sz w:val="17"/>
                <w:szCs w:val="17"/>
              </w:rPr>
              <w:t>: RWA and capital requirements according to the credit risk framework reported in Part III of this document.  The amounts exclude all positions subject to capital requirements relating to counterparty default risk</w:t>
            </w:r>
            <w:r>
              <w:rPr>
                <w:rFonts w:cs="Segoe UI"/>
                <w:sz w:val="17"/>
                <w:szCs w:val="17"/>
              </w:rPr>
              <w:t xml:space="preserve"> and default fund contributions</w:t>
            </w:r>
            <w:r w:rsidRPr="00FE4698">
              <w:rPr>
                <w:rFonts w:cs="Segoe UI"/>
                <w:sz w:val="17"/>
                <w:szCs w:val="17"/>
              </w:rPr>
              <w:t>, CVA risk, equity exposures (unless otherwise required), CIS exposures</w:t>
            </w:r>
            <w:r>
              <w:rPr>
                <w:rFonts w:cs="Segoe UI"/>
                <w:sz w:val="17"/>
                <w:szCs w:val="17"/>
              </w:rPr>
              <w:t xml:space="preserve"> (exclusion of CIS exposures from this row only when the new CIS framework takes effect)</w:t>
            </w:r>
            <w:r w:rsidRPr="00FE4698">
              <w:rPr>
                <w:rFonts w:cs="Segoe UI"/>
                <w:sz w:val="17"/>
                <w:szCs w:val="17"/>
              </w:rPr>
              <w:t xml:space="preserve">, settlement risk, securitization framework (e.g. securitization exposures in the banking book), and amount below the deduction threshold </w:t>
            </w:r>
            <w:r>
              <w:rPr>
                <w:rFonts w:cs="Segoe UI"/>
                <w:sz w:val="17"/>
                <w:szCs w:val="17"/>
              </w:rPr>
              <w:t xml:space="preserve">and subject to a </w:t>
            </w:r>
            <w:r w:rsidRPr="00FE4698">
              <w:rPr>
                <w:rFonts w:cs="Segoe UI"/>
                <w:sz w:val="17"/>
                <w:szCs w:val="17"/>
              </w:rPr>
              <w:t>250%</w:t>
            </w:r>
            <w:r>
              <w:rPr>
                <w:rFonts w:cs="Segoe UI"/>
                <w:sz w:val="17"/>
                <w:szCs w:val="17"/>
              </w:rPr>
              <w:t xml:space="preserve"> risk-weight.</w:t>
            </w:r>
            <w:r w:rsidRPr="00FE4698">
              <w:rPr>
                <w:rFonts w:cs="Segoe UI"/>
                <w:sz w:val="17"/>
                <w:szCs w:val="17"/>
              </w:rPr>
              <w:t xml:space="preserve"> </w:t>
            </w:r>
          </w:p>
        </w:tc>
      </w:tr>
      <w:tr w:rsidR="002A0515" w:rsidRPr="004E457E" w:rsidTr="00A54BE4">
        <w:tc>
          <w:tcPr>
            <w:tcW w:w="567" w:type="dxa"/>
            <w:shd w:val="clear" w:color="auto" w:fill="auto"/>
          </w:tcPr>
          <w:p w:rsidR="002A0515" w:rsidRPr="007557FA" w:rsidRDefault="002A0515" w:rsidP="00A54BE4">
            <w:pPr>
              <w:keepLines/>
              <w:tabs>
                <w:tab w:val="left" w:pos="150"/>
                <w:tab w:val="left" w:pos="397"/>
                <w:tab w:val="left" w:pos="794"/>
                <w:tab w:val="left" w:pos="1191"/>
              </w:tabs>
              <w:spacing w:before="40" w:after="40"/>
              <w:rPr>
                <w:rFonts w:cs="Segoe UI"/>
                <w:sz w:val="17"/>
                <w:szCs w:val="17"/>
              </w:rPr>
            </w:pPr>
            <w:r w:rsidRPr="007557FA">
              <w:rPr>
                <w:rFonts w:cs="Segoe UI"/>
                <w:sz w:val="17"/>
                <w:szCs w:val="17"/>
              </w:rPr>
              <w:t>2</w:t>
            </w:r>
          </w:p>
        </w:tc>
        <w:tc>
          <w:tcPr>
            <w:tcW w:w="8647" w:type="dxa"/>
            <w:shd w:val="clear" w:color="auto" w:fill="auto"/>
          </w:tcPr>
          <w:p w:rsidR="002A0515" w:rsidRPr="007557FA" w:rsidRDefault="002A0515" w:rsidP="00A54BE4">
            <w:pPr>
              <w:keepLines/>
              <w:tabs>
                <w:tab w:val="left" w:pos="150"/>
                <w:tab w:val="left" w:pos="397"/>
                <w:tab w:val="left" w:pos="794"/>
                <w:tab w:val="left" w:pos="1191"/>
              </w:tabs>
              <w:spacing w:before="40" w:after="40"/>
              <w:jc w:val="both"/>
              <w:rPr>
                <w:rFonts w:cs="Segoe UI"/>
                <w:sz w:val="17"/>
                <w:szCs w:val="17"/>
              </w:rPr>
            </w:pPr>
            <w:r w:rsidRPr="007557FA">
              <w:rPr>
                <w:rFonts w:cs="Segoe UI"/>
                <w:i/>
                <w:sz w:val="17"/>
                <w:szCs w:val="17"/>
              </w:rPr>
              <w:t xml:space="preserve">Of which </w:t>
            </w:r>
            <w:r w:rsidRPr="007557FA">
              <w:rPr>
                <w:rFonts w:cs="Segoe UI"/>
                <w:i/>
                <w:sz w:val="17"/>
                <w:szCs w:val="17"/>
                <w:lang w:eastAsia="en-GB"/>
              </w:rPr>
              <w:t>STC approach</w:t>
            </w:r>
            <w:r w:rsidRPr="007557FA">
              <w:rPr>
                <w:rFonts w:cs="Segoe UI"/>
                <w:sz w:val="17"/>
                <w:szCs w:val="17"/>
              </w:rPr>
              <w:t xml:space="preserve">: RWA and capital requirements calculated using the STC approach under the BCR.  For an interim or annual reporting period, the value in [OV1: 2/a] should be equal to the value in [CR4 (STC): 15/e]. </w:t>
            </w:r>
          </w:p>
        </w:tc>
      </w:tr>
      <w:tr w:rsidR="002A0515" w:rsidRPr="004E457E" w:rsidTr="00A54BE4">
        <w:tc>
          <w:tcPr>
            <w:tcW w:w="567" w:type="dxa"/>
            <w:shd w:val="clear" w:color="auto" w:fill="auto"/>
          </w:tcPr>
          <w:p w:rsidR="002A0515" w:rsidRPr="007557FA" w:rsidRDefault="002A0515" w:rsidP="00A54BE4">
            <w:pPr>
              <w:keepLines/>
              <w:tabs>
                <w:tab w:val="left" w:pos="150"/>
                <w:tab w:val="left" w:pos="397"/>
                <w:tab w:val="left" w:pos="794"/>
                <w:tab w:val="left" w:pos="1191"/>
              </w:tabs>
              <w:spacing w:before="40" w:after="40"/>
              <w:rPr>
                <w:rFonts w:cs="Segoe UI"/>
                <w:sz w:val="17"/>
                <w:szCs w:val="17"/>
              </w:rPr>
            </w:pPr>
            <w:r w:rsidRPr="007557FA">
              <w:rPr>
                <w:rFonts w:cs="Segoe UI"/>
                <w:sz w:val="17"/>
                <w:szCs w:val="17"/>
              </w:rPr>
              <w:t>2a</w:t>
            </w:r>
          </w:p>
        </w:tc>
        <w:tc>
          <w:tcPr>
            <w:tcW w:w="8647" w:type="dxa"/>
            <w:shd w:val="clear" w:color="auto" w:fill="auto"/>
          </w:tcPr>
          <w:p w:rsidR="002A0515" w:rsidRPr="007557FA" w:rsidRDefault="002A0515" w:rsidP="00A54BE4">
            <w:pPr>
              <w:keepLines/>
              <w:tabs>
                <w:tab w:val="left" w:pos="150"/>
                <w:tab w:val="left" w:pos="397"/>
                <w:tab w:val="left" w:pos="794"/>
                <w:tab w:val="left" w:pos="1191"/>
              </w:tabs>
              <w:spacing w:before="40" w:after="40"/>
              <w:jc w:val="both"/>
              <w:rPr>
                <w:rFonts w:cs="Segoe UI"/>
                <w:i/>
                <w:sz w:val="17"/>
                <w:szCs w:val="17"/>
              </w:rPr>
            </w:pPr>
            <w:r w:rsidRPr="007557FA">
              <w:rPr>
                <w:rFonts w:cs="Segoe UI"/>
                <w:i/>
                <w:sz w:val="17"/>
                <w:szCs w:val="17"/>
              </w:rPr>
              <w:t xml:space="preserve">Of which </w:t>
            </w:r>
            <w:r w:rsidRPr="007557FA">
              <w:rPr>
                <w:rFonts w:cs="Segoe UI"/>
                <w:i/>
                <w:sz w:val="17"/>
                <w:szCs w:val="17"/>
                <w:lang w:eastAsia="en-GB"/>
              </w:rPr>
              <w:t>BSC approach</w:t>
            </w:r>
            <w:r w:rsidRPr="007557FA">
              <w:rPr>
                <w:rFonts w:cs="Segoe UI"/>
                <w:sz w:val="17"/>
                <w:szCs w:val="17"/>
              </w:rPr>
              <w:t xml:space="preserve">: RWA and capital requirements calculated using the BSC approach under the BCR.  For an interim or annual reporting period, the value in [OV1: 2a/a] should be equal to the value in [CR4 (BSC): 10/e]. </w:t>
            </w:r>
          </w:p>
        </w:tc>
      </w:tr>
      <w:tr w:rsidR="002A0515" w:rsidRPr="004E457E" w:rsidTr="00A54BE4">
        <w:tc>
          <w:tcPr>
            <w:tcW w:w="567" w:type="dxa"/>
            <w:shd w:val="clear" w:color="auto" w:fill="auto"/>
          </w:tcPr>
          <w:p w:rsidR="002A0515" w:rsidRDefault="002A0515" w:rsidP="00A54BE4">
            <w:pPr>
              <w:keepLines/>
              <w:tabs>
                <w:tab w:val="left" w:pos="150"/>
                <w:tab w:val="left" w:pos="397"/>
                <w:tab w:val="left" w:pos="794"/>
                <w:tab w:val="left" w:pos="1191"/>
              </w:tabs>
              <w:spacing w:before="40" w:after="40"/>
              <w:rPr>
                <w:rFonts w:cs="Segoe UI"/>
                <w:sz w:val="17"/>
                <w:szCs w:val="17"/>
              </w:rPr>
            </w:pPr>
            <w:r>
              <w:rPr>
                <w:rFonts w:cs="Segoe UI"/>
                <w:sz w:val="17"/>
                <w:szCs w:val="17"/>
              </w:rPr>
              <w:t>3</w:t>
            </w:r>
          </w:p>
        </w:tc>
        <w:tc>
          <w:tcPr>
            <w:tcW w:w="8647" w:type="dxa"/>
            <w:shd w:val="clear" w:color="auto" w:fill="auto"/>
          </w:tcPr>
          <w:p w:rsidR="002A0515" w:rsidRPr="00AD6EBC" w:rsidRDefault="002A0515" w:rsidP="00A54BE4">
            <w:pPr>
              <w:keepLines/>
              <w:tabs>
                <w:tab w:val="left" w:pos="150"/>
                <w:tab w:val="left" w:pos="397"/>
                <w:tab w:val="left" w:pos="794"/>
                <w:tab w:val="left" w:pos="1191"/>
              </w:tabs>
              <w:spacing w:before="40" w:after="40"/>
              <w:jc w:val="both"/>
              <w:rPr>
                <w:rFonts w:cs="Segoe UI"/>
                <w:sz w:val="17"/>
                <w:szCs w:val="17"/>
              </w:rPr>
            </w:pPr>
            <w:r w:rsidRPr="00AD6EBC">
              <w:rPr>
                <w:rFonts w:cs="Segoe UI"/>
                <w:i/>
                <w:sz w:val="17"/>
                <w:szCs w:val="17"/>
              </w:rPr>
              <w:t>Of which foundation IRB approach</w:t>
            </w:r>
            <w:r>
              <w:rPr>
                <w:rFonts w:cs="Segoe UI"/>
                <w:sz w:val="17"/>
                <w:szCs w:val="17"/>
              </w:rPr>
              <w:t xml:space="preserve">: </w:t>
            </w:r>
            <w:r w:rsidRPr="004E457E">
              <w:rPr>
                <w:rFonts w:cs="Segoe UI"/>
                <w:sz w:val="17"/>
                <w:szCs w:val="17"/>
              </w:rPr>
              <w:t xml:space="preserve">RWA and capital requirements </w:t>
            </w:r>
            <w:r>
              <w:rPr>
                <w:rFonts w:cs="Segoe UI"/>
                <w:sz w:val="17"/>
                <w:szCs w:val="17"/>
              </w:rPr>
              <w:t xml:space="preserve">for AIs </w:t>
            </w:r>
            <w:r w:rsidRPr="004E457E">
              <w:rPr>
                <w:rFonts w:cs="Segoe UI"/>
                <w:sz w:val="17"/>
                <w:szCs w:val="17"/>
              </w:rPr>
              <w:t xml:space="preserve">using </w:t>
            </w:r>
            <w:r w:rsidRPr="00FA1F84">
              <w:rPr>
                <w:rFonts w:cs="Segoe UI"/>
                <w:sz w:val="17"/>
                <w:szCs w:val="17"/>
              </w:rPr>
              <w:t xml:space="preserve">the </w:t>
            </w:r>
            <w:r w:rsidRPr="00AD6EBC">
              <w:rPr>
                <w:rFonts w:cs="Segoe UI"/>
                <w:sz w:val="17"/>
                <w:szCs w:val="17"/>
              </w:rPr>
              <w:t>foundation</w:t>
            </w:r>
            <w:r w:rsidRPr="00FA1F84">
              <w:rPr>
                <w:rFonts w:cs="Segoe UI"/>
                <w:sz w:val="17"/>
                <w:szCs w:val="17"/>
              </w:rPr>
              <w:t xml:space="preserve"> IRB approach</w:t>
            </w:r>
            <w:r>
              <w:rPr>
                <w:rFonts w:cs="Segoe UI" w:hint="eastAsia"/>
                <w:sz w:val="17"/>
                <w:szCs w:val="17"/>
              </w:rPr>
              <w:t xml:space="preserve"> </w:t>
            </w:r>
            <w:r>
              <w:rPr>
                <w:rFonts w:cs="Segoe UI"/>
                <w:sz w:val="17"/>
                <w:szCs w:val="17"/>
              </w:rPr>
              <w:t xml:space="preserve">to calculate their credit risk </w:t>
            </w:r>
            <w:r w:rsidRPr="004E457E">
              <w:rPr>
                <w:rFonts w:cs="Segoe UI"/>
                <w:sz w:val="17"/>
                <w:szCs w:val="17"/>
              </w:rPr>
              <w:t>under the BCR,</w:t>
            </w:r>
            <w:r>
              <w:rPr>
                <w:rFonts w:cs="Segoe UI" w:hint="eastAsia"/>
                <w:sz w:val="17"/>
                <w:szCs w:val="17"/>
              </w:rPr>
              <w:t xml:space="preserve"> </w:t>
            </w:r>
            <w:r w:rsidRPr="00D808EB">
              <w:rPr>
                <w:rFonts w:cs="Segoe UI"/>
                <w:sz w:val="17"/>
                <w:szCs w:val="17"/>
              </w:rPr>
              <w:t>excluding</w:t>
            </w:r>
            <w:r>
              <w:rPr>
                <w:rFonts w:cs="Segoe UI" w:hint="eastAsia"/>
                <w:sz w:val="17"/>
                <w:szCs w:val="17"/>
              </w:rPr>
              <w:t xml:space="preserve"> </w:t>
            </w:r>
            <w:r>
              <w:rPr>
                <w:rFonts w:cs="Segoe UI"/>
                <w:sz w:val="17"/>
                <w:szCs w:val="17"/>
              </w:rPr>
              <w:t xml:space="preserve">specialized lending calculated using the </w:t>
            </w:r>
            <w:r w:rsidRPr="00384CE5">
              <w:rPr>
                <w:rFonts w:cs="Segoe UI"/>
                <w:sz w:val="17"/>
                <w:szCs w:val="17"/>
              </w:rPr>
              <w:t>supervisory</w:t>
            </w:r>
            <w:r>
              <w:rPr>
                <w:rFonts w:cs="Segoe UI"/>
                <w:sz w:val="17"/>
                <w:szCs w:val="17"/>
              </w:rPr>
              <w:t xml:space="preserve"> </w:t>
            </w:r>
            <w:r w:rsidRPr="00384CE5">
              <w:rPr>
                <w:rFonts w:cs="Segoe UI"/>
                <w:sz w:val="17"/>
                <w:szCs w:val="17"/>
              </w:rPr>
              <w:t>slotting criteria approach</w:t>
            </w:r>
            <w:r>
              <w:rPr>
                <w:rFonts w:cs="Segoe UI"/>
                <w:sz w:val="17"/>
                <w:szCs w:val="17"/>
              </w:rPr>
              <w:t xml:space="preserve"> (reported in row 4) and </w:t>
            </w:r>
            <w:r w:rsidRPr="00D808EB">
              <w:rPr>
                <w:rFonts w:cs="Segoe UI"/>
                <w:sz w:val="17"/>
                <w:szCs w:val="17"/>
              </w:rPr>
              <w:t xml:space="preserve">equity </w:t>
            </w:r>
            <w:r>
              <w:rPr>
                <w:rFonts w:cs="Segoe UI"/>
                <w:sz w:val="17"/>
                <w:szCs w:val="17"/>
              </w:rPr>
              <w:t xml:space="preserve">positions </w:t>
            </w:r>
            <w:r w:rsidRPr="00D808EB">
              <w:rPr>
                <w:rFonts w:cs="Segoe UI"/>
                <w:sz w:val="17"/>
                <w:szCs w:val="17"/>
              </w:rPr>
              <w:t xml:space="preserve">in banking book </w:t>
            </w:r>
            <w:r w:rsidRPr="00686916">
              <w:rPr>
                <w:rFonts w:cs="Segoe UI"/>
                <w:noProof/>
                <w:sz w:val="17"/>
                <w:szCs w:val="17"/>
                <w:lang w:eastAsia="en-GB"/>
              </w:rPr>
              <w:t xml:space="preserve">under the </w:t>
            </w:r>
            <w:r>
              <w:rPr>
                <w:rFonts w:cs="Segoe UI" w:hint="eastAsia"/>
                <w:noProof/>
                <w:sz w:val="17"/>
                <w:szCs w:val="17"/>
              </w:rPr>
              <w:t>s</w:t>
            </w:r>
            <w:r w:rsidRPr="00146759">
              <w:rPr>
                <w:rFonts w:cs="Segoe UI"/>
                <w:noProof/>
                <w:sz w:val="17"/>
                <w:szCs w:val="17"/>
                <w:lang w:eastAsia="en-GB"/>
              </w:rPr>
              <w:t>imple risk-weight method</w:t>
            </w:r>
            <w:r>
              <w:rPr>
                <w:rFonts w:cs="Segoe UI"/>
                <w:noProof/>
                <w:sz w:val="17"/>
                <w:szCs w:val="17"/>
                <w:lang w:eastAsia="en-GB"/>
              </w:rPr>
              <w:t xml:space="preserve"> and </w:t>
            </w:r>
            <w:r>
              <w:rPr>
                <w:rFonts w:cs="Segoe UI"/>
                <w:sz w:val="17"/>
                <w:szCs w:val="17"/>
              </w:rPr>
              <w:t xml:space="preserve">internal models method </w:t>
            </w:r>
            <w:r w:rsidRPr="00D808EB">
              <w:rPr>
                <w:rFonts w:cs="Segoe UI"/>
                <w:sz w:val="17"/>
                <w:szCs w:val="17"/>
              </w:rPr>
              <w:t xml:space="preserve">(reported in row </w:t>
            </w:r>
            <w:r w:rsidRPr="00D808EB">
              <w:rPr>
                <w:rFonts w:cs="Segoe UI" w:hint="eastAsia"/>
                <w:sz w:val="17"/>
                <w:szCs w:val="17"/>
              </w:rPr>
              <w:t>11</w:t>
            </w:r>
            <w:r w:rsidRPr="00D808EB">
              <w:rPr>
                <w:rFonts w:cs="Segoe UI"/>
                <w:sz w:val="17"/>
                <w:szCs w:val="17"/>
              </w:rPr>
              <w:t>)</w:t>
            </w:r>
            <w:r>
              <w:rPr>
                <w:rFonts w:cs="Segoe UI" w:hint="eastAsia"/>
                <w:sz w:val="17"/>
                <w:szCs w:val="17"/>
              </w:rPr>
              <w:t xml:space="preserve">, </w:t>
            </w:r>
            <w:r>
              <w:rPr>
                <w:rFonts w:cs="Segoe UI"/>
                <w:sz w:val="17"/>
                <w:szCs w:val="17"/>
              </w:rPr>
              <w:t>but including equity exposures under the PD/LGD approach, retail exposures under the retail IRB approach and other exposures under the specific risk-weight approach.</w:t>
            </w:r>
          </w:p>
        </w:tc>
      </w:tr>
      <w:tr w:rsidR="002A0515" w:rsidRPr="004E457E" w:rsidTr="00A54BE4">
        <w:tc>
          <w:tcPr>
            <w:tcW w:w="567" w:type="dxa"/>
            <w:shd w:val="clear" w:color="auto" w:fill="auto"/>
          </w:tcPr>
          <w:p w:rsidR="002A0515" w:rsidRPr="00384CE5" w:rsidRDefault="002A0515" w:rsidP="00A54BE4">
            <w:pPr>
              <w:keepLines/>
              <w:tabs>
                <w:tab w:val="left" w:pos="150"/>
                <w:tab w:val="left" w:pos="397"/>
                <w:tab w:val="left" w:pos="794"/>
                <w:tab w:val="left" w:pos="1191"/>
              </w:tabs>
              <w:spacing w:before="40" w:after="40"/>
              <w:rPr>
                <w:rFonts w:cs="Segoe UI"/>
                <w:sz w:val="17"/>
                <w:szCs w:val="17"/>
                <w:highlight w:val="yellow"/>
              </w:rPr>
            </w:pPr>
            <w:r>
              <w:rPr>
                <w:rFonts w:cs="Segoe UI" w:hint="eastAsia"/>
                <w:sz w:val="17"/>
                <w:szCs w:val="17"/>
              </w:rPr>
              <w:t>4</w:t>
            </w:r>
          </w:p>
        </w:tc>
        <w:tc>
          <w:tcPr>
            <w:tcW w:w="8647" w:type="dxa"/>
            <w:shd w:val="clear" w:color="auto" w:fill="auto"/>
          </w:tcPr>
          <w:p w:rsidR="002A0515" w:rsidRPr="00384CE5" w:rsidRDefault="002A0515" w:rsidP="00A54BE4">
            <w:pPr>
              <w:keepLines/>
              <w:tabs>
                <w:tab w:val="left" w:pos="150"/>
                <w:tab w:val="left" w:pos="397"/>
                <w:tab w:val="left" w:pos="794"/>
                <w:tab w:val="left" w:pos="1191"/>
              </w:tabs>
              <w:spacing w:before="40" w:after="40"/>
              <w:jc w:val="both"/>
              <w:rPr>
                <w:rFonts w:cs="Segoe UI"/>
                <w:sz w:val="17"/>
                <w:szCs w:val="17"/>
              </w:rPr>
            </w:pPr>
            <w:r w:rsidRPr="00384CE5">
              <w:rPr>
                <w:rFonts w:cs="Segoe UI"/>
                <w:i/>
                <w:sz w:val="17"/>
                <w:szCs w:val="17"/>
              </w:rPr>
              <w:t>Of which supervisory slotting criteria approach</w:t>
            </w:r>
            <w:r>
              <w:rPr>
                <w:rFonts w:cs="Segoe UI" w:hint="eastAsia"/>
                <w:sz w:val="17"/>
                <w:szCs w:val="17"/>
              </w:rPr>
              <w:t xml:space="preserve">: </w:t>
            </w:r>
            <w:r>
              <w:rPr>
                <w:rFonts w:cs="Segoe UI"/>
                <w:sz w:val="17"/>
                <w:szCs w:val="17"/>
              </w:rPr>
              <w:t xml:space="preserve">RWA and capital requirements of specialized lending calculated using the </w:t>
            </w:r>
            <w:r w:rsidRPr="00384CE5">
              <w:rPr>
                <w:rFonts w:cs="Segoe UI"/>
                <w:sz w:val="17"/>
                <w:szCs w:val="17"/>
              </w:rPr>
              <w:t>supervisory</w:t>
            </w:r>
            <w:r>
              <w:rPr>
                <w:rFonts w:cs="Segoe UI"/>
                <w:sz w:val="17"/>
                <w:szCs w:val="17"/>
              </w:rPr>
              <w:t xml:space="preserve"> </w:t>
            </w:r>
            <w:r w:rsidRPr="00384CE5">
              <w:rPr>
                <w:rFonts w:cs="Segoe UI"/>
                <w:sz w:val="17"/>
                <w:szCs w:val="17"/>
              </w:rPr>
              <w:t xml:space="preserve">slotting criteria approach </w:t>
            </w:r>
            <w:r>
              <w:rPr>
                <w:rFonts w:cs="Segoe UI"/>
                <w:sz w:val="17"/>
                <w:szCs w:val="17"/>
              </w:rPr>
              <w:t>under the BCR.</w:t>
            </w:r>
          </w:p>
        </w:tc>
      </w:tr>
      <w:tr w:rsidR="002A0515" w:rsidRPr="004E457E" w:rsidTr="00A54BE4">
        <w:tc>
          <w:tcPr>
            <w:tcW w:w="567" w:type="dxa"/>
            <w:shd w:val="clear" w:color="auto" w:fill="auto"/>
          </w:tcPr>
          <w:p w:rsidR="002A0515" w:rsidRPr="00D44754" w:rsidRDefault="002A0515" w:rsidP="00A54BE4">
            <w:pPr>
              <w:keepLines/>
              <w:tabs>
                <w:tab w:val="left" w:pos="150"/>
                <w:tab w:val="left" w:pos="397"/>
                <w:tab w:val="left" w:pos="794"/>
                <w:tab w:val="left" w:pos="1191"/>
              </w:tabs>
              <w:spacing w:before="40" w:after="40"/>
              <w:rPr>
                <w:rFonts w:cs="Segoe UI"/>
                <w:sz w:val="17"/>
                <w:szCs w:val="17"/>
              </w:rPr>
            </w:pPr>
            <w:r>
              <w:rPr>
                <w:rFonts w:cs="Segoe UI" w:hint="eastAsia"/>
                <w:sz w:val="17"/>
                <w:szCs w:val="17"/>
              </w:rPr>
              <w:t>5</w:t>
            </w:r>
          </w:p>
        </w:tc>
        <w:tc>
          <w:tcPr>
            <w:tcW w:w="8647" w:type="dxa"/>
            <w:shd w:val="clear" w:color="auto" w:fill="auto"/>
          </w:tcPr>
          <w:p w:rsidR="002A0515" w:rsidRPr="00BD2D54" w:rsidRDefault="002A0515" w:rsidP="00A54BE4">
            <w:pPr>
              <w:keepLines/>
              <w:tabs>
                <w:tab w:val="left" w:pos="150"/>
                <w:tab w:val="left" w:pos="397"/>
                <w:tab w:val="left" w:pos="794"/>
                <w:tab w:val="left" w:pos="1191"/>
              </w:tabs>
              <w:spacing w:before="40" w:after="40"/>
              <w:jc w:val="both"/>
              <w:rPr>
                <w:rFonts w:cs="Segoe UI"/>
                <w:sz w:val="17"/>
                <w:szCs w:val="17"/>
              </w:rPr>
            </w:pPr>
            <w:r w:rsidRPr="00D44754">
              <w:rPr>
                <w:rFonts w:cs="Segoe UI"/>
                <w:i/>
                <w:sz w:val="17"/>
                <w:szCs w:val="17"/>
                <w:lang w:eastAsia="en-GB"/>
              </w:rPr>
              <w:t>Of which advanced IRB approach</w:t>
            </w:r>
            <w:r>
              <w:rPr>
                <w:rFonts w:cs="Segoe UI" w:hint="eastAsia"/>
                <w:sz w:val="17"/>
                <w:szCs w:val="17"/>
              </w:rPr>
              <w:t xml:space="preserve">: </w:t>
            </w:r>
            <w:r w:rsidRPr="004E457E">
              <w:rPr>
                <w:rFonts w:cs="Segoe UI"/>
                <w:sz w:val="17"/>
                <w:szCs w:val="17"/>
              </w:rPr>
              <w:t xml:space="preserve">RWA and capital requirements </w:t>
            </w:r>
            <w:r>
              <w:rPr>
                <w:rFonts w:cs="Segoe UI"/>
                <w:sz w:val="17"/>
                <w:szCs w:val="17"/>
              </w:rPr>
              <w:t xml:space="preserve">for AIs </w:t>
            </w:r>
            <w:r w:rsidRPr="004E457E">
              <w:rPr>
                <w:rFonts w:cs="Segoe UI"/>
                <w:sz w:val="17"/>
                <w:szCs w:val="17"/>
              </w:rPr>
              <w:t xml:space="preserve">using </w:t>
            </w:r>
            <w:r w:rsidRPr="00FA1F84">
              <w:rPr>
                <w:rFonts w:cs="Segoe UI"/>
                <w:sz w:val="17"/>
                <w:szCs w:val="17"/>
              </w:rPr>
              <w:t>the advanced IRB approach</w:t>
            </w:r>
            <w:r>
              <w:rPr>
                <w:rFonts w:cs="Segoe UI" w:hint="eastAsia"/>
                <w:sz w:val="17"/>
                <w:szCs w:val="17"/>
              </w:rPr>
              <w:t xml:space="preserve"> </w:t>
            </w:r>
            <w:r>
              <w:rPr>
                <w:rFonts w:cs="Segoe UI"/>
                <w:sz w:val="17"/>
                <w:szCs w:val="17"/>
              </w:rPr>
              <w:t xml:space="preserve">to calculate their credit risk </w:t>
            </w:r>
            <w:r w:rsidRPr="004E457E">
              <w:rPr>
                <w:rFonts w:cs="Segoe UI"/>
                <w:sz w:val="17"/>
                <w:szCs w:val="17"/>
              </w:rPr>
              <w:t>under the BCR,</w:t>
            </w:r>
            <w:r>
              <w:rPr>
                <w:rFonts w:cs="Segoe UI" w:hint="eastAsia"/>
                <w:sz w:val="17"/>
                <w:szCs w:val="17"/>
              </w:rPr>
              <w:t xml:space="preserve"> </w:t>
            </w:r>
            <w:r w:rsidRPr="00D808EB">
              <w:rPr>
                <w:rFonts w:cs="Segoe UI"/>
                <w:sz w:val="17"/>
                <w:szCs w:val="17"/>
              </w:rPr>
              <w:t>excluding</w:t>
            </w:r>
            <w:r>
              <w:rPr>
                <w:rFonts w:cs="Segoe UI" w:hint="eastAsia"/>
                <w:sz w:val="17"/>
                <w:szCs w:val="17"/>
              </w:rPr>
              <w:t xml:space="preserve"> </w:t>
            </w:r>
            <w:r>
              <w:rPr>
                <w:rFonts w:cs="Segoe UI"/>
                <w:sz w:val="17"/>
                <w:szCs w:val="17"/>
              </w:rPr>
              <w:t xml:space="preserve">specialized lending calculated using the </w:t>
            </w:r>
            <w:r w:rsidRPr="00384CE5">
              <w:rPr>
                <w:rFonts w:cs="Segoe UI"/>
                <w:sz w:val="17"/>
                <w:szCs w:val="17"/>
              </w:rPr>
              <w:t>supervisory</w:t>
            </w:r>
            <w:r>
              <w:rPr>
                <w:rFonts w:cs="Segoe UI"/>
                <w:sz w:val="17"/>
                <w:szCs w:val="17"/>
              </w:rPr>
              <w:t xml:space="preserve"> </w:t>
            </w:r>
            <w:r w:rsidRPr="00384CE5">
              <w:rPr>
                <w:rFonts w:cs="Segoe UI"/>
                <w:sz w:val="17"/>
                <w:szCs w:val="17"/>
              </w:rPr>
              <w:t>slotting criteria approach</w:t>
            </w:r>
            <w:r>
              <w:rPr>
                <w:rFonts w:cs="Segoe UI"/>
                <w:sz w:val="17"/>
                <w:szCs w:val="17"/>
              </w:rPr>
              <w:t xml:space="preserve"> (reported in row 4) and</w:t>
            </w:r>
            <w:r w:rsidRPr="00D808EB">
              <w:rPr>
                <w:rFonts w:cs="Segoe UI"/>
                <w:sz w:val="17"/>
                <w:szCs w:val="17"/>
              </w:rPr>
              <w:t xml:space="preserve"> equity </w:t>
            </w:r>
            <w:r>
              <w:rPr>
                <w:rFonts w:cs="Segoe UI"/>
                <w:sz w:val="17"/>
                <w:szCs w:val="17"/>
              </w:rPr>
              <w:t>positions</w:t>
            </w:r>
            <w:r w:rsidRPr="00D808EB">
              <w:rPr>
                <w:rFonts w:cs="Segoe UI"/>
                <w:sz w:val="17"/>
                <w:szCs w:val="17"/>
              </w:rPr>
              <w:t xml:space="preserve"> in banking book under </w:t>
            </w:r>
            <w:r w:rsidRPr="00D808EB">
              <w:rPr>
                <w:rFonts w:cs="Segoe UI"/>
                <w:noProof/>
                <w:sz w:val="17"/>
                <w:szCs w:val="17"/>
                <w:lang w:eastAsia="en-GB"/>
              </w:rPr>
              <w:t xml:space="preserve">the </w:t>
            </w:r>
            <w:r w:rsidRPr="00D808EB">
              <w:rPr>
                <w:rFonts w:cs="Segoe UI" w:hint="eastAsia"/>
                <w:noProof/>
                <w:sz w:val="17"/>
                <w:szCs w:val="17"/>
              </w:rPr>
              <w:t>s</w:t>
            </w:r>
            <w:r w:rsidRPr="00D808EB">
              <w:rPr>
                <w:rFonts w:cs="Segoe UI"/>
                <w:noProof/>
                <w:sz w:val="17"/>
                <w:szCs w:val="17"/>
                <w:lang w:eastAsia="en-GB"/>
              </w:rPr>
              <w:t>imple risk-weight method</w:t>
            </w:r>
            <w:r>
              <w:rPr>
                <w:rFonts w:cs="Segoe UI"/>
                <w:noProof/>
                <w:sz w:val="17"/>
                <w:szCs w:val="17"/>
                <w:lang w:eastAsia="en-GB"/>
              </w:rPr>
              <w:t xml:space="preserve"> and internal models method </w:t>
            </w:r>
            <w:r w:rsidRPr="00D808EB">
              <w:rPr>
                <w:rFonts w:cs="Segoe UI"/>
                <w:sz w:val="17"/>
                <w:szCs w:val="17"/>
              </w:rPr>
              <w:t xml:space="preserve">(reported in row </w:t>
            </w:r>
            <w:r w:rsidRPr="00D808EB">
              <w:rPr>
                <w:rFonts w:cs="Segoe UI" w:hint="eastAsia"/>
                <w:sz w:val="17"/>
                <w:szCs w:val="17"/>
              </w:rPr>
              <w:t>11</w:t>
            </w:r>
            <w:r w:rsidRPr="00D808EB">
              <w:rPr>
                <w:rFonts w:cs="Segoe UI"/>
                <w:sz w:val="17"/>
                <w:szCs w:val="17"/>
              </w:rPr>
              <w:t>)</w:t>
            </w:r>
            <w:r>
              <w:rPr>
                <w:rFonts w:cs="Segoe UI" w:hint="eastAsia"/>
                <w:sz w:val="17"/>
                <w:szCs w:val="17"/>
              </w:rPr>
              <w:t xml:space="preserve">, </w:t>
            </w:r>
            <w:r>
              <w:rPr>
                <w:rFonts w:cs="Segoe UI"/>
                <w:sz w:val="17"/>
                <w:szCs w:val="17"/>
              </w:rPr>
              <w:t>but including equity exposures under the PD/LGD approach, retail exposures under the retail IRB approach and other exposures under the specific risk-weight approach.</w:t>
            </w:r>
          </w:p>
        </w:tc>
      </w:tr>
      <w:tr w:rsidR="002A0515" w:rsidRPr="004E457E" w:rsidTr="00A54BE4">
        <w:tc>
          <w:tcPr>
            <w:tcW w:w="567" w:type="dxa"/>
            <w:shd w:val="clear" w:color="auto" w:fill="auto"/>
          </w:tcPr>
          <w:p w:rsidR="002A0515" w:rsidRPr="00983D3E" w:rsidRDefault="002A0515" w:rsidP="00A54BE4">
            <w:pPr>
              <w:keepLines/>
              <w:tabs>
                <w:tab w:val="left" w:pos="150"/>
                <w:tab w:val="left" w:pos="397"/>
                <w:tab w:val="left" w:pos="794"/>
                <w:tab w:val="left" w:pos="1191"/>
              </w:tabs>
              <w:spacing w:before="40" w:after="40"/>
              <w:rPr>
                <w:rFonts w:cs="Segoe UI"/>
                <w:sz w:val="17"/>
                <w:szCs w:val="17"/>
                <w:highlight w:val="yellow"/>
              </w:rPr>
            </w:pPr>
            <w:r w:rsidRPr="00D44754">
              <w:rPr>
                <w:rFonts w:cs="Segoe UI" w:hint="eastAsia"/>
                <w:sz w:val="17"/>
                <w:szCs w:val="17"/>
              </w:rPr>
              <w:t>6</w:t>
            </w:r>
          </w:p>
        </w:tc>
        <w:tc>
          <w:tcPr>
            <w:tcW w:w="8647" w:type="dxa"/>
            <w:shd w:val="clear" w:color="auto" w:fill="auto"/>
          </w:tcPr>
          <w:p w:rsidR="002A0515" w:rsidRPr="00421E07" w:rsidRDefault="002A0515" w:rsidP="00A54BE4">
            <w:pPr>
              <w:keepLines/>
              <w:tabs>
                <w:tab w:val="left" w:pos="150"/>
                <w:tab w:val="left" w:pos="397"/>
                <w:tab w:val="left" w:pos="794"/>
                <w:tab w:val="left" w:pos="1191"/>
              </w:tabs>
              <w:spacing w:before="40" w:after="40"/>
              <w:jc w:val="both"/>
              <w:rPr>
                <w:rFonts w:cs="Segoe UI"/>
                <w:sz w:val="17"/>
                <w:szCs w:val="17"/>
              </w:rPr>
            </w:pPr>
            <w:r w:rsidRPr="004E457E">
              <w:rPr>
                <w:rFonts w:cs="Segoe UI"/>
                <w:i/>
                <w:sz w:val="17"/>
                <w:szCs w:val="17"/>
              </w:rPr>
              <w:t xml:space="preserve">Counterparty </w:t>
            </w:r>
            <w:r>
              <w:rPr>
                <w:rFonts w:cs="Segoe UI"/>
                <w:i/>
                <w:sz w:val="17"/>
                <w:szCs w:val="17"/>
              </w:rPr>
              <w:t>default</w:t>
            </w:r>
            <w:r w:rsidRPr="004E457E">
              <w:rPr>
                <w:rFonts w:cs="Segoe UI"/>
                <w:i/>
                <w:sz w:val="17"/>
                <w:szCs w:val="17"/>
              </w:rPr>
              <w:t xml:space="preserve"> risk</w:t>
            </w:r>
            <w:r>
              <w:rPr>
                <w:rFonts w:cs="Segoe UI"/>
                <w:i/>
                <w:sz w:val="17"/>
                <w:szCs w:val="17"/>
              </w:rPr>
              <w:t xml:space="preserve"> and default fund contributions</w:t>
            </w:r>
            <w:r w:rsidRPr="004E457E">
              <w:rPr>
                <w:rFonts w:cs="Segoe UI"/>
                <w:sz w:val="17"/>
                <w:szCs w:val="17"/>
              </w:rPr>
              <w:t xml:space="preserve">: RWA and capital requirements for counterparty </w:t>
            </w:r>
            <w:r>
              <w:rPr>
                <w:rFonts w:cs="Segoe UI"/>
                <w:sz w:val="17"/>
                <w:szCs w:val="17"/>
              </w:rPr>
              <w:t>default</w:t>
            </w:r>
            <w:r w:rsidRPr="004E457E">
              <w:rPr>
                <w:rFonts w:cs="Segoe UI"/>
                <w:sz w:val="17"/>
                <w:szCs w:val="17"/>
              </w:rPr>
              <w:t xml:space="preserve"> risk (including</w:t>
            </w:r>
            <w:r>
              <w:rPr>
                <w:rFonts w:cs="Segoe UI"/>
                <w:sz w:val="17"/>
                <w:szCs w:val="17"/>
              </w:rPr>
              <w:t xml:space="preserve"> such a risk </w:t>
            </w:r>
            <w:r w:rsidRPr="004E457E">
              <w:rPr>
                <w:rFonts w:cs="Segoe UI"/>
                <w:sz w:val="17"/>
                <w:szCs w:val="17"/>
              </w:rPr>
              <w:t xml:space="preserve">to CCPs) </w:t>
            </w:r>
            <w:r>
              <w:rPr>
                <w:rFonts w:cs="Segoe UI"/>
                <w:sz w:val="17"/>
                <w:szCs w:val="17"/>
              </w:rPr>
              <w:t xml:space="preserve">and default fund contributions, </w:t>
            </w:r>
            <w:r w:rsidRPr="004E457E">
              <w:rPr>
                <w:rFonts w:cs="Segoe UI"/>
                <w:sz w:val="17"/>
                <w:szCs w:val="17"/>
              </w:rPr>
              <w:t>calcul</w:t>
            </w:r>
            <w:r>
              <w:rPr>
                <w:rFonts w:cs="Segoe UI"/>
                <w:sz w:val="17"/>
                <w:szCs w:val="17"/>
              </w:rPr>
              <w:t xml:space="preserve">ated in accordance with the BCR </w:t>
            </w:r>
            <w:r w:rsidRPr="00383487">
              <w:rPr>
                <w:rFonts w:cs="Segoe UI"/>
                <w:sz w:val="17"/>
                <w:szCs w:val="17"/>
              </w:rPr>
              <w:t>as reported i</w:t>
            </w:r>
            <w:r w:rsidRPr="00B74492">
              <w:rPr>
                <w:rFonts w:cs="Segoe UI"/>
                <w:sz w:val="17"/>
                <w:szCs w:val="17"/>
              </w:rPr>
              <w:t>n Part IV of</w:t>
            </w:r>
            <w:r w:rsidRPr="00383487">
              <w:rPr>
                <w:rFonts w:cs="Segoe UI"/>
                <w:sz w:val="17"/>
                <w:szCs w:val="17"/>
              </w:rPr>
              <w:t xml:space="preserve"> this document.</w:t>
            </w:r>
            <w:r w:rsidRPr="004E457E">
              <w:rPr>
                <w:rFonts w:cs="Segoe UI"/>
                <w:sz w:val="17"/>
                <w:szCs w:val="17"/>
              </w:rPr>
              <w:t xml:space="preserve">  </w:t>
            </w:r>
            <w:r>
              <w:rPr>
                <w:rFonts w:cs="Segoe UI"/>
                <w:sz w:val="17"/>
                <w:szCs w:val="17"/>
              </w:rPr>
              <w:t xml:space="preserve">The RWA and capital requirements for </w:t>
            </w:r>
            <w:r>
              <w:rPr>
                <w:rFonts w:cs="Segoe UI" w:hint="eastAsia"/>
                <w:sz w:val="17"/>
                <w:szCs w:val="17"/>
              </w:rPr>
              <w:t>C</w:t>
            </w:r>
            <w:r>
              <w:rPr>
                <w:rFonts w:cs="Segoe UI"/>
                <w:sz w:val="17"/>
                <w:szCs w:val="17"/>
                <w:lang w:eastAsia="en-GB"/>
              </w:rPr>
              <w:t xml:space="preserve">VA should </w:t>
            </w:r>
            <w:r>
              <w:rPr>
                <w:rFonts w:cs="Segoe UI" w:hint="eastAsia"/>
                <w:sz w:val="17"/>
                <w:szCs w:val="17"/>
              </w:rPr>
              <w:t xml:space="preserve">be </w:t>
            </w:r>
            <w:r>
              <w:rPr>
                <w:rFonts w:cs="Segoe UI"/>
                <w:sz w:val="17"/>
                <w:szCs w:val="17"/>
                <w:lang w:eastAsia="en-GB"/>
              </w:rPr>
              <w:t>reported in row 10</w:t>
            </w:r>
            <w:r>
              <w:rPr>
                <w:rFonts w:cs="Segoe UI" w:hint="eastAsia"/>
                <w:sz w:val="17"/>
                <w:szCs w:val="17"/>
              </w:rPr>
              <w:t xml:space="preserve"> </w:t>
            </w:r>
            <w:r>
              <w:rPr>
                <w:rFonts w:cs="Segoe UI"/>
                <w:sz w:val="17"/>
                <w:szCs w:val="17"/>
              </w:rPr>
              <w:t xml:space="preserve">and must not be </w:t>
            </w:r>
            <w:r>
              <w:rPr>
                <w:rFonts w:cs="Segoe UI"/>
                <w:sz w:val="17"/>
                <w:szCs w:val="17"/>
                <w:lang w:eastAsia="en-GB"/>
              </w:rPr>
              <w:t>include</w:t>
            </w:r>
            <w:r>
              <w:rPr>
                <w:rFonts w:cs="Segoe UI" w:hint="eastAsia"/>
                <w:sz w:val="17"/>
                <w:szCs w:val="17"/>
              </w:rPr>
              <w:t xml:space="preserve">d </w:t>
            </w:r>
            <w:r>
              <w:rPr>
                <w:rFonts w:cs="Segoe UI"/>
                <w:sz w:val="17"/>
                <w:szCs w:val="17"/>
              </w:rPr>
              <w:t>in</w:t>
            </w:r>
            <w:r>
              <w:rPr>
                <w:rFonts w:cs="Segoe UI" w:hint="eastAsia"/>
                <w:sz w:val="17"/>
                <w:szCs w:val="17"/>
              </w:rPr>
              <w:t xml:space="preserve"> </w:t>
            </w:r>
            <w:r>
              <w:rPr>
                <w:rFonts w:cs="Segoe UI"/>
                <w:sz w:val="17"/>
                <w:szCs w:val="17"/>
              </w:rPr>
              <w:t>this row and rows 7 to 9 below</w:t>
            </w:r>
            <w:r w:rsidRPr="00FE4698">
              <w:rPr>
                <w:rFonts w:cs="Segoe UI" w:hint="eastAsia"/>
                <w:sz w:val="17"/>
                <w:szCs w:val="17"/>
              </w:rPr>
              <w:t xml:space="preserve">.  </w:t>
            </w:r>
            <w:r w:rsidRPr="00FE4698">
              <w:rPr>
                <w:rFonts w:cs="Segoe UI"/>
                <w:sz w:val="17"/>
                <w:szCs w:val="17"/>
              </w:rPr>
              <w:t>The value in [OV1:6/a] is equal to the sum of values in [CCR1:6/f], [CCR8:1/b] and [CCR8:11/b].</w:t>
            </w:r>
          </w:p>
        </w:tc>
      </w:tr>
      <w:tr w:rsidR="002A0515" w:rsidRPr="004E457E" w:rsidTr="00A54BE4">
        <w:tc>
          <w:tcPr>
            <w:tcW w:w="567" w:type="dxa"/>
            <w:shd w:val="clear" w:color="auto" w:fill="auto"/>
          </w:tcPr>
          <w:p w:rsidR="002A0515" w:rsidRPr="00CA570C" w:rsidRDefault="002A0515" w:rsidP="00A54BE4">
            <w:pPr>
              <w:keepLines/>
              <w:tabs>
                <w:tab w:val="left" w:pos="150"/>
                <w:tab w:val="left" w:pos="397"/>
                <w:tab w:val="left" w:pos="794"/>
                <w:tab w:val="left" w:pos="1191"/>
              </w:tabs>
              <w:spacing w:before="40" w:after="40"/>
              <w:rPr>
                <w:rFonts w:cs="Segoe UI"/>
                <w:sz w:val="17"/>
                <w:szCs w:val="17"/>
                <w:highlight w:val="yellow"/>
              </w:rPr>
            </w:pPr>
            <w:r>
              <w:rPr>
                <w:rFonts w:cs="Segoe UI" w:hint="eastAsia"/>
                <w:sz w:val="17"/>
                <w:szCs w:val="17"/>
              </w:rPr>
              <w:t>7</w:t>
            </w:r>
          </w:p>
        </w:tc>
        <w:tc>
          <w:tcPr>
            <w:tcW w:w="8647" w:type="dxa"/>
            <w:shd w:val="clear" w:color="auto" w:fill="auto"/>
          </w:tcPr>
          <w:p w:rsidR="002A0515" w:rsidRPr="004E457E" w:rsidRDefault="002A0515" w:rsidP="00A54BE4">
            <w:pPr>
              <w:keepLines/>
              <w:tabs>
                <w:tab w:val="left" w:pos="397"/>
                <w:tab w:val="left" w:pos="794"/>
                <w:tab w:val="left" w:pos="1191"/>
              </w:tabs>
              <w:spacing w:before="40" w:after="40"/>
              <w:jc w:val="both"/>
              <w:rPr>
                <w:rFonts w:cs="Segoe UI"/>
                <w:sz w:val="17"/>
                <w:szCs w:val="17"/>
                <w:lang w:eastAsia="en-GB"/>
              </w:rPr>
            </w:pPr>
            <w:r w:rsidRPr="00983D3E">
              <w:rPr>
                <w:rFonts w:cs="Segoe UI"/>
                <w:i/>
                <w:sz w:val="17"/>
                <w:szCs w:val="17"/>
                <w:lang w:eastAsia="en-GB"/>
              </w:rPr>
              <w:t>Of which SA-CCR</w:t>
            </w:r>
            <w:r>
              <w:rPr>
                <w:rFonts w:cs="Segoe UI"/>
                <w:i/>
                <w:sz w:val="17"/>
                <w:szCs w:val="17"/>
                <w:lang w:eastAsia="en-GB"/>
              </w:rPr>
              <w:t xml:space="preserve"> approach</w:t>
            </w:r>
            <w:r w:rsidRPr="004E457E">
              <w:rPr>
                <w:rFonts w:cs="Segoe UI"/>
                <w:sz w:val="17"/>
                <w:szCs w:val="17"/>
                <w:lang w:eastAsia="en-GB"/>
              </w:rPr>
              <w:t xml:space="preserve">: </w:t>
            </w:r>
            <w:r w:rsidRPr="004E457E">
              <w:rPr>
                <w:rFonts w:cs="Segoe UI"/>
                <w:sz w:val="17"/>
                <w:szCs w:val="17"/>
              </w:rPr>
              <w:t xml:space="preserve">RWA calculated based on the amount of default risk exposures calculated under the </w:t>
            </w:r>
            <w:r>
              <w:rPr>
                <w:rFonts w:cs="Segoe UI"/>
                <w:sz w:val="17"/>
                <w:szCs w:val="17"/>
              </w:rPr>
              <w:t xml:space="preserve">SA-CCR approach. </w:t>
            </w:r>
            <w:r w:rsidRPr="00610A32">
              <w:rPr>
                <w:rFonts w:cs="Segoe UI"/>
                <w:sz w:val="17"/>
                <w:szCs w:val="17"/>
                <w:lang w:eastAsia="en-GB"/>
              </w:rPr>
              <w:t xml:space="preserve"> </w:t>
            </w:r>
            <w:r>
              <w:rPr>
                <w:rFonts w:cs="Segoe UI"/>
                <w:sz w:val="17"/>
                <w:szCs w:val="17"/>
                <w:lang w:eastAsia="en-GB"/>
              </w:rPr>
              <w:t xml:space="preserve"> </w:t>
            </w:r>
            <w:r w:rsidRPr="00AC6DA4">
              <w:rPr>
                <w:rFonts w:cs="Segoe UI"/>
                <w:sz w:val="17"/>
                <w:szCs w:val="17"/>
                <w:lang w:eastAsia="en-GB"/>
              </w:rPr>
              <w:t>The value in [OV1:7/a] should be equal to</w:t>
            </w:r>
            <w:r w:rsidRPr="00AC6DA4">
              <w:rPr>
                <w:sz w:val="17"/>
              </w:rPr>
              <w:t xml:space="preserve"> the </w:t>
            </w:r>
            <w:r w:rsidRPr="00AC6DA4">
              <w:rPr>
                <w:rFonts w:cs="Segoe UI"/>
                <w:sz w:val="17"/>
                <w:szCs w:val="17"/>
                <w:lang w:eastAsia="en-GB"/>
              </w:rPr>
              <w:t>value in [CCR1: 1/f].</w:t>
            </w:r>
          </w:p>
        </w:tc>
      </w:tr>
      <w:tr w:rsidR="002A0515" w:rsidRPr="004E457E" w:rsidTr="00A54BE4">
        <w:tc>
          <w:tcPr>
            <w:tcW w:w="567" w:type="dxa"/>
            <w:shd w:val="clear" w:color="auto" w:fill="auto"/>
          </w:tcPr>
          <w:p w:rsidR="002A0515" w:rsidRPr="00CA570C" w:rsidRDefault="002A0515" w:rsidP="00A54BE4">
            <w:pPr>
              <w:keepLines/>
              <w:tabs>
                <w:tab w:val="left" w:pos="150"/>
                <w:tab w:val="left" w:pos="397"/>
                <w:tab w:val="left" w:pos="794"/>
                <w:tab w:val="left" w:pos="1191"/>
              </w:tabs>
              <w:spacing w:before="40" w:after="40"/>
              <w:rPr>
                <w:rFonts w:cs="Segoe UI"/>
                <w:sz w:val="17"/>
                <w:szCs w:val="17"/>
                <w:highlight w:val="yellow"/>
              </w:rPr>
            </w:pPr>
            <w:r w:rsidRPr="00CA570C">
              <w:rPr>
                <w:rFonts w:cs="Segoe UI"/>
                <w:sz w:val="17"/>
                <w:szCs w:val="17"/>
              </w:rPr>
              <w:t>7</w:t>
            </w:r>
            <w:r>
              <w:rPr>
                <w:rFonts w:cs="Segoe UI" w:hint="eastAsia"/>
                <w:sz w:val="17"/>
                <w:szCs w:val="17"/>
              </w:rPr>
              <w:t>a</w:t>
            </w:r>
          </w:p>
        </w:tc>
        <w:tc>
          <w:tcPr>
            <w:tcW w:w="8647" w:type="dxa"/>
            <w:shd w:val="clear" w:color="auto" w:fill="auto"/>
          </w:tcPr>
          <w:p w:rsidR="002A0515" w:rsidRPr="004E457E" w:rsidRDefault="002A0515" w:rsidP="00A54BE4">
            <w:pPr>
              <w:keepLines/>
              <w:tabs>
                <w:tab w:val="left" w:pos="397"/>
                <w:tab w:val="left" w:pos="794"/>
                <w:tab w:val="left" w:pos="1191"/>
              </w:tabs>
              <w:spacing w:before="40" w:after="40"/>
              <w:jc w:val="both"/>
              <w:rPr>
                <w:rFonts w:cs="Segoe UI"/>
                <w:i/>
                <w:sz w:val="17"/>
                <w:szCs w:val="17"/>
                <w:lang w:eastAsia="en-GB"/>
              </w:rPr>
            </w:pPr>
            <w:r w:rsidRPr="000A6D82">
              <w:rPr>
                <w:rFonts w:cs="Segoe UI"/>
                <w:i/>
                <w:sz w:val="17"/>
                <w:szCs w:val="17"/>
                <w:lang w:eastAsia="en-GB"/>
              </w:rPr>
              <w:t>Of which CEM</w:t>
            </w:r>
            <w:r w:rsidRPr="004E457E">
              <w:rPr>
                <w:rFonts w:cs="Segoe UI"/>
                <w:sz w:val="17"/>
                <w:szCs w:val="17"/>
                <w:lang w:eastAsia="en-GB"/>
              </w:rPr>
              <w:t xml:space="preserve">: </w:t>
            </w:r>
            <w:r w:rsidRPr="004E457E">
              <w:rPr>
                <w:rFonts w:cs="Segoe UI"/>
                <w:sz w:val="17"/>
                <w:szCs w:val="17"/>
              </w:rPr>
              <w:t>RWA calculated based on the amount of default risk exposures calculated under the CEM, and the capital requirem</w:t>
            </w:r>
            <w:r>
              <w:rPr>
                <w:rFonts w:cs="Segoe UI"/>
                <w:sz w:val="17"/>
                <w:szCs w:val="17"/>
              </w:rPr>
              <w:t>ent calculated based on the RWA</w:t>
            </w:r>
            <w:r>
              <w:rPr>
                <w:rFonts w:cs="Segoe UI" w:hint="eastAsia"/>
                <w:sz w:val="17"/>
                <w:szCs w:val="17"/>
              </w:rPr>
              <w:t>.</w:t>
            </w:r>
            <w:r w:rsidRPr="004E457E">
              <w:rPr>
                <w:rFonts w:cs="Segoe UI"/>
                <w:sz w:val="17"/>
                <w:szCs w:val="17"/>
              </w:rPr>
              <w:t xml:space="preserve"> </w:t>
            </w:r>
            <w:r>
              <w:rPr>
                <w:rFonts w:cs="Segoe UI"/>
                <w:sz w:val="17"/>
                <w:szCs w:val="17"/>
              </w:rPr>
              <w:t xml:space="preserve"> </w:t>
            </w:r>
            <w:r w:rsidRPr="004E457E">
              <w:rPr>
                <w:rFonts w:cs="Segoe UI"/>
                <w:sz w:val="17"/>
                <w:szCs w:val="17"/>
              </w:rPr>
              <w:t xml:space="preserve">The value in </w:t>
            </w:r>
            <w:r w:rsidRPr="00421E07">
              <w:rPr>
                <w:rFonts w:cs="Segoe UI"/>
                <w:sz w:val="17"/>
                <w:szCs w:val="17"/>
              </w:rPr>
              <w:t>[OV1:</w:t>
            </w:r>
            <w:r>
              <w:rPr>
                <w:rFonts w:cs="Segoe UI"/>
                <w:sz w:val="17"/>
                <w:szCs w:val="17"/>
              </w:rPr>
              <w:t>7a</w:t>
            </w:r>
            <w:r w:rsidRPr="00421E07">
              <w:rPr>
                <w:rFonts w:cs="Segoe UI"/>
                <w:sz w:val="17"/>
                <w:szCs w:val="17"/>
              </w:rPr>
              <w:t>/a] is equal to the value in [CCR</w:t>
            </w:r>
            <w:r>
              <w:rPr>
                <w:rFonts w:cs="Segoe UI"/>
                <w:sz w:val="17"/>
                <w:szCs w:val="17"/>
              </w:rPr>
              <w:t>1</w:t>
            </w:r>
            <w:r w:rsidRPr="00421E07">
              <w:rPr>
                <w:rFonts w:cs="Segoe UI"/>
                <w:sz w:val="17"/>
                <w:szCs w:val="17"/>
              </w:rPr>
              <w:t>:</w:t>
            </w:r>
            <w:r>
              <w:rPr>
                <w:rFonts w:cs="Segoe UI"/>
                <w:sz w:val="17"/>
                <w:szCs w:val="17"/>
              </w:rPr>
              <w:t>1a</w:t>
            </w:r>
            <w:r w:rsidRPr="00421E07">
              <w:rPr>
                <w:rFonts w:cs="Segoe UI"/>
                <w:sz w:val="17"/>
                <w:szCs w:val="17"/>
              </w:rPr>
              <w:t>/</w:t>
            </w:r>
            <w:r>
              <w:rPr>
                <w:rFonts w:cs="Segoe UI"/>
                <w:sz w:val="17"/>
                <w:szCs w:val="17"/>
              </w:rPr>
              <w:t>f</w:t>
            </w:r>
            <w:r w:rsidRPr="00421E07">
              <w:rPr>
                <w:rFonts w:cs="Segoe UI"/>
                <w:sz w:val="17"/>
                <w:szCs w:val="17"/>
              </w:rPr>
              <w:t>].</w:t>
            </w:r>
          </w:p>
        </w:tc>
      </w:tr>
      <w:tr w:rsidR="002A0515" w:rsidRPr="004E457E" w:rsidTr="00A54BE4">
        <w:tc>
          <w:tcPr>
            <w:tcW w:w="567" w:type="dxa"/>
            <w:shd w:val="clear" w:color="auto" w:fill="auto"/>
          </w:tcPr>
          <w:p w:rsidR="002A0515" w:rsidRPr="00622192" w:rsidRDefault="002A0515" w:rsidP="00A54BE4">
            <w:pPr>
              <w:keepLines/>
              <w:tabs>
                <w:tab w:val="left" w:pos="150"/>
                <w:tab w:val="left" w:pos="397"/>
                <w:tab w:val="left" w:pos="794"/>
                <w:tab w:val="left" w:pos="1191"/>
              </w:tabs>
              <w:spacing w:before="40" w:after="40"/>
              <w:rPr>
                <w:rFonts w:cs="Segoe UI"/>
                <w:sz w:val="17"/>
                <w:szCs w:val="17"/>
                <w:highlight w:val="yellow"/>
              </w:rPr>
            </w:pPr>
            <w:r w:rsidRPr="00F00CD5">
              <w:rPr>
                <w:rFonts w:cs="Segoe UI"/>
                <w:sz w:val="17"/>
                <w:szCs w:val="17"/>
              </w:rPr>
              <w:t>8</w:t>
            </w:r>
          </w:p>
        </w:tc>
        <w:tc>
          <w:tcPr>
            <w:tcW w:w="8647" w:type="dxa"/>
            <w:shd w:val="clear" w:color="auto" w:fill="auto"/>
          </w:tcPr>
          <w:p w:rsidR="002A0515" w:rsidRPr="004E457E" w:rsidRDefault="002A0515" w:rsidP="00A54BE4">
            <w:pPr>
              <w:keepLines/>
              <w:tabs>
                <w:tab w:val="left" w:pos="397"/>
                <w:tab w:val="left" w:pos="794"/>
                <w:tab w:val="left" w:pos="1191"/>
              </w:tabs>
              <w:spacing w:before="40" w:after="40"/>
              <w:jc w:val="both"/>
              <w:rPr>
                <w:rFonts w:cs="Segoe UI"/>
                <w:sz w:val="17"/>
                <w:szCs w:val="17"/>
                <w:lang w:eastAsia="en-GB"/>
              </w:rPr>
            </w:pPr>
            <w:r w:rsidRPr="00156333">
              <w:rPr>
                <w:rFonts w:cs="Segoe UI"/>
                <w:i/>
                <w:sz w:val="17"/>
                <w:szCs w:val="17"/>
                <w:lang w:eastAsia="en-GB"/>
              </w:rPr>
              <w:t>Of which IMM(CCR) approach</w:t>
            </w:r>
            <w:r w:rsidRPr="004E457E">
              <w:rPr>
                <w:rFonts w:cs="Segoe UI"/>
                <w:sz w:val="17"/>
                <w:szCs w:val="17"/>
                <w:lang w:eastAsia="en-GB"/>
              </w:rPr>
              <w:t xml:space="preserve">: </w:t>
            </w:r>
            <w:r w:rsidRPr="004E457E">
              <w:rPr>
                <w:rFonts w:cs="Segoe UI"/>
                <w:sz w:val="17"/>
                <w:szCs w:val="17"/>
              </w:rPr>
              <w:t>RWA calculated based on the amount of default risk exposures calculated under the IMM(CCR) approach, and the capital requirem</w:t>
            </w:r>
            <w:r>
              <w:rPr>
                <w:rFonts w:cs="Segoe UI"/>
                <w:sz w:val="17"/>
                <w:szCs w:val="17"/>
              </w:rPr>
              <w:t>ent calculated based on the RWA</w:t>
            </w:r>
            <w:r>
              <w:rPr>
                <w:rFonts w:cs="Segoe UI" w:hint="eastAsia"/>
                <w:sz w:val="17"/>
                <w:szCs w:val="17"/>
              </w:rPr>
              <w:t xml:space="preserve">.  </w:t>
            </w:r>
            <w:r w:rsidRPr="004E457E">
              <w:rPr>
                <w:rFonts w:cs="Segoe UI"/>
                <w:sz w:val="17"/>
                <w:szCs w:val="17"/>
              </w:rPr>
              <w:t xml:space="preserve">The value in </w:t>
            </w:r>
            <w:r w:rsidRPr="00421E07">
              <w:rPr>
                <w:rFonts w:cs="Segoe UI"/>
                <w:sz w:val="17"/>
                <w:szCs w:val="17"/>
              </w:rPr>
              <w:t xml:space="preserve">[OV1:8/a] is equal to </w:t>
            </w:r>
            <w:r>
              <w:rPr>
                <w:rFonts w:cs="Segoe UI"/>
                <w:sz w:val="17"/>
                <w:szCs w:val="17"/>
              </w:rPr>
              <w:t xml:space="preserve">the value in [CCR1:2/f] and </w:t>
            </w:r>
            <w:r w:rsidRPr="00421E07">
              <w:rPr>
                <w:rFonts w:cs="Segoe UI"/>
                <w:sz w:val="17"/>
                <w:szCs w:val="17"/>
              </w:rPr>
              <w:t>the value in [CCR7:9/a].</w:t>
            </w:r>
          </w:p>
        </w:tc>
      </w:tr>
      <w:tr w:rsidR="002A0515" w:rsidRPr="004147BF" w:rsidTr="00A54BE4">
        <w:tc>
          <w:tcPr>
            <w:tcW w:w="567" w:type="dxa"/>
            <w:shd w:val="clear" w:color="auto" w:fill="auto"/>
          </w:tcPr>
          <w:p w:rsidR="002A0515" w:rsidRPr="00012673" w:rsidRDefault="002A0515" w:rsidP="00A54BE4">
            <w:pPr>
              <w:keepLines/>
              <w:tabs>
                <w:tab w:val="left" w:pos="150"/>
                <w:tab w:val="left" w:pos="397"/>
                <w:tab w:val="left" w:pos="794"/>
                <w:tab w:val="left" w:pos="1191"/>
              </w:tabs>
              <w:spacing w:before="40" w:after="40"/>
              <w:rPr>
                <w:rFonts w:cs="Segoe UI"/>
                <w:sz w:val="17"/>
                <w:szCs w:val="17"/>
              </w:rPr>
            </w:pPr>
            <w:r>
              <w:rPr>
                <w:rFonts w:cs="Segoe UI"/>
                <w:sz w:val="17"/>
                <w:szCs w:val="17"/>
              </w:rPr>
              <w:t>9</w:t>
            </w:r>
          </w:p>
        </w:tc>
        <w:tc>
          <w:tcPr>
            <w:tcW w:w="8647" w:type="dxa"/>
            <w:shd w:val="clear" w:color="auto" w:fill="auto"/>
          </w:tcPr>
          <w:p w:rsidR="002A0515" w:rsidRPr="00FE4698" w:rsidRDefault="002A0515" w:rsidP="00A54BE4">
            <w:pPr>
              <w:keepLines/>
              <w:tabs>
                <w:tab w:val="left" w:pos="397"/>
                <w:tab w:val="left" w:pos="794"/>
                <w:tab w:val="left" w:pos="1191"/>
              </w:tabs>
              <w:spacing w:before="40" w:after="40"/>
              <w:jc w:val="both"/>
              <w:rPr>
                <w:rFonts w:cs="Segoe UI"/>
                <w:sz w:val="17"/>
                <w:szCs w:val="17"/>
              </w:rPr>
            </w:pPr>
            <w:r w:rsidRPr="00FE4698">
              <w:rPr>
                <w:rFonts w:cs="Segoe UI"/>
                <w:i/>
                <w:sz w:val="17"/>
                <w:szCs w:val="17"/>
                <w:lang w:eastAsia="en-GB"/>
              </w:rPr>
              <w:t>Of which others</w:t>
            </w:r>
            <w:r w:rsidRPr="00FE4698">
              <w:rPr>
                <w:rFonts w:cs="Segoe UI"/>
                <w:sz w:val="17"/>
                <w:szCs w:val="17"/>
                <w:lang w:eastAsia="en-GB"/>
              </w:rPr>
              <w:t xml:space="preserve">: </w:t>
            </w:r>
            <w:r w:rsidRPr="00FE4698">
              <w:rPr>
                <w:rFonts w:cs="Segoe UI"/>
                <w:sz w:val="17"/>
                <w:szCs w:val="17"/>
              </w:rPr>
              <w:t xml:space="preserve">RWA and capital requirements for the following items calculated in accordance with the BCR by using methods other than those falling under rows 7 </w:t>
            </w:r>
            <w:r>
              <w:rPr>
                <w:rFonts w:cs="Segoe UI"/>
                <w:sz w:val="17"/>
                <w:szCs w:val="17"/>
              </w:rPr>
              <w:t>to</w:t>
            </w:r>
            <w:r w:rsidRPr="00FE4698">
              <w:rPr>
                <w:rFonts w:cs="Segoe UI"/>
                <w:sz w:val="17"/>
                <w:szCs w:val="17"/>
              </w:rPr>
              <w:t xml:space="preserve"> 8 above as reported in Part IV of this document:</w:t>
            </w:r>
          </w:p>
          <w:p w:rsidR="002A0515" w:rsidRPr="00FE4698" w:rsidRDefault="002A0515" w:rsidP="002A0515">
            <w:pPr>
              <w:pStyle w:val="ListParagraph"/>
              <w:keepLines/>
              <w:widowControl w:val="0"/>
              <w:numPr>
                <w:ilvl w:val="0"/>
                <w:numId w:val="43"/>
              </w:numPr>
              <w:tabs>
                <w:tab w:val="left" w:pos="397"/>
                <w:tab w:val="left" w:pos="794"/>
                <w:tab w:val="left" w:pos="1191"/>
              </w:tabs>
              <w:spacing w:before="40" w:after="40"/>
              <w:ind w:leftChars="0"/>
              <w:jc w:val="both"/>
              <w:rPr>
                <w:rFonts w:cs="Segoe UI"/>
                <w:sz w:val="17"/>
                <w:szCs w:val="17"/>
              </w:rPr>
            </w:pPr>
            <w:r w:rsidRPr="00FE4698">
              <w:rPr>
                <w:rFonts w:cs="Segoe UI"/>
                <w:sz w:val="17"/>
                <w:szCs w:val="17"/>
              </w:rPr>
              <w:t>counterparty default risk (including such a risk to CCPs) in respect of securities financing transactions; and</w:t>
            </w:r>
          </w:p>
          <w:p w:rsidR="002A0515" w:rsidRPr="00FE4698" w:rsidRDefault="002A0515" w:rsidP="002A0515">
            <w:pPr>
              <w:pStyle w:val="ListParagraph"/>
              <w:keepLines/>
              <w:widowControl w:val="0"/>
              <w:numPr>
                <w:ilvl w:val="0"/>
                <w:numId w:val="43"/>
              </w:numPr>
              <w:tabs>
                <w:tab w:val="left" w:pos="397"/>
                <w:tab w:val="left" w:pos="794"/>
                <w:tab w:val="left" w:pos="1191"/>
              </w:tabs>
              <w:spacing w:before="40" w:after="40"/>
              <w:ind w:leftChars="0"/>
              <w:jc w:val="both"/>
              <w:rPr>
                <w:rFonts w:cs="Segoe UI"/>
                <w:sz w:val="17"/>
                <w:szCs w:val="17"/>
              </w:rPr>
            </w:pPr>
            <w:r w:rsidRPr="00FE4698">
              <w:rPr>
                <w:rFonts w:cs="Segoe UI"/>
                <w:sz w:val="17"/>
                <w:szCs w:val="17"/>
              </w:rPr>
              <w:t>default fund contributions.</w:t>
            </w:r>
          </w:p>
        </w:tc>
      </w:tr>
      <w:tr w:rsidR="002A0515" w:rsidRPr="004E457E" w:rsidTr="00A54BE4">
        <w:tc>
          <w:tcPr>
            <w:tcW w:w="567" w:type="dxa"/>
            <w:shd w:val="clear" w:color="auto" w:fill="auto"/>
          </w:tcPr>
          <w:p w:rsidR="002A0515" w:rsidRPr="00012673" w:rsidRDefault="002A0515" w:rsidP="00A54BE4">
            <w:pPr>
              <w:keepLines/>
              <w:tabs>
                <w:tab w:val="left" w:pos="150"/>
                <w:tab w:val="left" w:pos="397"/>
                <w:tab w:val="left" w:pos="794"/>
                <w:tab w:val="left" w:pos="1191"/>
              </w:tabs>
              <w:spacing w:before="40" w:after="40"/>
              <w:rPr>
                <w:rFonts w:cs="Segoe UI"/>
                <w:sz w:val="17"/>
                <w:szCs w:val="17"/>
              </w:rPr>
            </w:pPr>
            <w:r w:rsidRPr="00012673">
              <w:rPr>
                <w:rFonts w:cs="Segoe UI"/>
                <w:sz w:val="17"/>
                <w:szCs w:val="17"/>
              </w:rPr>
              <w:t>10</w:t>
            </w:r>
          </w:p>
        </w:tc>
        <w:tc>
          <w:tcPr>
            <w:tcW w:w="8647" w:type="dxa"/>
            <w:shd w:val="clear" w:color="auto" w:fill="auto"/>
          </w:tcPr>
          <w:p w:rsidR="002A0515" w:rsidRPr="00FE4698" w:rsidRDefault="002A0515" w:rsidP="00A54BE4">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CVA risk</w:t>
            </w:r>
            <w:r w:rsidRPr="00FE4698">
              <w:rPr>
                <w:rFonts w:cs="Segoe UI"/>
                <w:sz w:val="17"/>
                <w:szCs w:val="17"/>
                <w:lang w:eastAsia="en-GB"/>
              </w:rPr>
              <w:t>: capital requirements for CVA calculated in accordance with the BCR and the corresponding RWA for CVA, as reported in Part IV of this document.</w:t>
            </w:r>
            <w:r w:rsidRPr="00FE4698">
              <w:rPr>
                <w:rFonts w:cs="Segoe UI"/>
                <w:sz w:val="17"/>
                <w:szCs w:val="17"/>
              </w:rPr>
              <w:t xml:space="preserve">  The value in [OV1:10/a] is equal to </w:t>
            </w:r>
            <w:r>
              <w:rPr>
                <w:rFonts w:cs="Segoe UI"/>
                <w:sz w:val="17"/>
                <w:szCs w:val="17"/>
              </w:rPr>
              <w:t xml:space="preserve">the </w:t>
            </w:r>
            <w:r w:rsidRPr="00FE4698">
              <w:rPr>
                <w:rFonts w:cs="Segoe UI"/>
                <w:sz w:val="17"/>
                <w:szCs w:val="17"/>
              </w:rPr>
              <w:t>value in [CCR2:4/b].</w:t>
            </w:r>
          </w:p>
        </w:tc>
      </w:tr>
      <w:tr w:rsidR="002A0515" w:rsidRPr="004E457E" w:rsidTr="00A54BE4">
        <w:tc>
          <w:tcPr>
            <w:tcW w:w="567" w:type="dxa"/>
            <w:shd w:val="clear" w:color="auto" w:fill="auto"/>
          </w:tcPr>
          <w:p w:rsidR="002A0515" w:rsidRPr="00622192" w:rsidRDefault="002A0515" w:rsidP="00A54BE4">
            <w:pPr>
              <w:keepLines/>
              <w:tabs>
                <w:tab w:val="left" w:pos="150"/>
                <w:tab w:val="left" w:pos="397"/>
                <w:tab w:val="left" w:pos="794"/>
                <w:tab w:val="left" w:pos="1191"/>
              </w:tabs>
              <w:spacing w:before="40" w:after="40"/>
              <w:rPr>
                <w:rFonts w:cs="Segoe UI"/>
                <w:sz w:val="17"/>
                <w:szCs w:val="17"/>
                <w:highlight w:val="yellow"/>
              </w:rPr>
            </w:pPr>
            <w:r w:rsidRPr="005F7B0C">
              <w:rPr>
                <w:rFonts w:cs="Segoe UI"/>
                <w:sz w:val="17"/>
                <w:szCs w:val="17"/>
              </w:rPr>
              <w:t>11</w:t>
            </w:r>
          </w:p>
        </w:tc>
        <w:tc>
          <w:tcPr>
            <w:tcW w:w="8647" w:type="dxa"/>
            <w:shd w:val="clear" w:color="auto" w:fill="auto"/>
          </w:tcPr>
          <w:p w:rsidR="002A0515" w:rsidRDefault="002A0515" w:rsidP="00A54BE4">
            <w:pPr>
              <w:keepLines/>
              <w:tabs>
                <w:tab w:val="left" w:pos="397"/>
                <w:tab w:val="left" w:pos="794"/>
                <w:tab w:val="left" w:pos="1191"/>
              </w:tabs>
              <w:spacing w:before="40" w:after="40"/>
              <w:jc w:val="both"/>
              <w:rPr>
                <w:rFonts w:cs="Segoe UI"/>
                <w:sz w:val="17"/>
                <w:szCs w:val="17"/>
              </w:rPr>
            </w:pPr>
            <w:r w:rsidRPr="000066A2">
              <w:rPr>
                <w:rFonts w:cs="Segoe UI"/>
                <w:i/>
                <w:sz w:val="17"/>
                <w:szCs w:val="17"/>
              </w:rPr>
              <w:t xml:space="preserve">Equity </w:t>
            </w:r>
            <w:r>
              <w:rPr>
                <w:rFonts w:cs="Segoe UI"/>
                <w:i/>
                <w:sz w:val="17"/>
                <w:szCs w:val="17"/>
              </w:rPr>
              <w:t xml:space="preserve">positions in banking book </w:t>
            </w:r>
            <w:r w:rsidRPr="000066A2">
              <w:rPr>
                <w:rFonts w:cs="Segoe UI"/>
                <w:i/>
                <w:sz w:val="17"/>
                <w:szCs w:val="17"/>
              </w:rPr>
              <w:t xml:space="preserve">under the </w:t>
            </w:r>
            <w:r w:rsidRPr="00146759">
              <w:rPr>
                <w:rFonts w:cs="Segoe UI"/>
                <w:i/>
                <w:sz w:val="17"/>
                <w:szCs w:val="17"/>
              </w:rPr>
              <w:t>simple risk-weight method</w:t>
            </w:r>
            <w:r>
              <w:rPr>
                <w:rFonts w:cs="Segoe UI"/>
                <w:i/>
                <w:sz w:val="17"/>
                <w:szCs w:val="17"/>
              </w:rPr>
              <w:t xml:space="preserve"> and internal models method</w:t>
            </w:r>
            <w:r>
              <w:rPr>
                <w:rFonts w:cs="Segoe UI"/>
                <w:sz w:val="17"/>
                <w:szCs w:val="17"/>
              </w:rPr>
              <w:t xml:space="preserve">: The amounts correspond to the RWA and capital requirements where the AI applies the </w:t>
            </w:r>
            <w:r w:rsidRPr="003E544C">
              <w:rPr>
                <w:rFonts w:cs="Segoe UI"/>
                <w:sz w:val="17"/>
                <w:szCs w:val="17"/>
              </w:rPr>
              <w:t>simple risk-weight method</w:t>
            </w:r>
            <w:r>
              <w:rPr>
                <w:rFonts w:cs="Segoe UI"/>
                <w:sz w:val="17"/>
                <w:szCs w:val="17"/>
              </w:rPr>
              <w:t xml:space="preserve"> and internal models method specified in the BCR.  Where the regulatory treatment of equities is in accordance with the simple risk-weight method, the corresponding RWA are included in Template CR10 and in this row. </w:t>
            </w:r>
            <w:r>
              <w:rPr>
                <w:rFonts w:cs="Segoe UI" w:hint="eastAsia"/>
                <w:sz w:val="17"/>
                <w:szCs w:val="17"/>
              </w:rPr>
              <w:t xml:space="preserve"> </w:t>
            </w:r>
            <w:r w:rsidRPr="00752C12">
              <w:rPr>
                <w:rFonts w:cs="Segoe UI"/>
                <w:sz w:val="17"/>
                <w:szCs w:val="17"/>
              </w:rPr>
              <w:t>The value in [OV1:11/a] is equal to the sum of values in [CR10: total/e for equity exposures under the simple risk-weight method] and the RWA corresponding to the internal models method for equity exposures in the banking book.</w:t>
            </w:r>
          </w:p>
          <w:p w:rsidR="002A0515" w:rsidRPr="004E457E" w:rsidRDefault="002A0515" w:rsidP="00A54BE4">
            <w:pPr>
              <w:keepLines/>
              <w:tabs>
                <w:tab w:val="left" w:pos="397"/>
                <w:tab w:val="left" w:pos="794"/>
                <w:tab w:val="left" w:pos="1191"/>
              </w:tabs>
              <w:spacing w:before="40" w:after="40"/>
              <w:jc w:val="both"/>
              <w:rPr>
                <w:rFonts w:cs="Segoe UI"/>
                <w:noProof/>
                <w:sz w:val="17"/>
                <w:szCs w:val="17"/>
                <w:lang w:eastAsia="en-GB"/>
              </w:rPr>
            </w:pPr>
            <w:r w:rsidRPr="004E457E">
              <w:rPr>
                <w:rFonts w:cs="Segoe UI"/>
                <w:sz w:val="17"/>
                <w:szCs w:val="17"/>
              </w:rPr>
              <w:t>To avoid doubt</w:t>
            </w:r>
            <w:r>
              <w:rPr>
                <w:rFonts w:cs="Segoe UI"/>
                <w:sz w:val="17"/>
                <w:szCs w:val="17"/>
              </w:rPr>
              <w:t>, r</w:t>
            </w:r>
            <w:r w:rsidRPr="00A76646">
              <w:rPr>
                <w:rFonts w:cs="Segoe UI"/>
                <w:sz w:val="17"/>
                <w:szCs w:val="17"/>
              </w:rPr>
              <w:t xml:space="preserve">ow 11 is not applicable to equity exposures that are subject to the STC approach or the BSC approach.  The corresponding RWA calculated under the STC or BSC approach is reported in </w:t>
            </w:r>
            <w:r>
              <w:rPr>
                <w:rFonts w:cs="Segoe UI"/>
                <w:sz w:val="17"/>
                <w:szCs w:val="17"/>
              </w:rPr>
              <w:t>T</w:t>
            </w:r>
            <w:r w:rsidRPr="00A76646">
              <w:rPr>
                <w:rFonts w:cs="Segoe UI"/>
                <w:sz w:val="17"/>
                <w:szCs w:val="17"/>
              </w:rPr>
              <w:t>emplate CR4 and included in row 2 (for STC approach) or row 2a (for BSC approach), as the case requires, of this template.</w:t>
            </w:r>
          </w:p>
        </w:tc>
      </w:tr>
      <w:tr w:rsidR="002A0515" w:rsidRPr="004E457E" w:rsidTr="00A54BE4">
        <w:tc>
          <w:tcPr>
            <w:tcW w:w="567" w:type="dxa"/>
            <w:shd w:val="clear" w:color="auto" w:fill="auto"/>
          </w:tcPr>
          <w:p w:rsidR="002A0515" w:rsidRPr="00B047A9" w:rsidRDefault="002A0515" w:rsidP="00A54BE4">
            <w:pPr>
              <w:keepLines/>
              <w:tabs>
                <w:tab w:val="left" w:pos="150"/>
                <w:tab w:val="left" w:pos="397"/>
                <w:tab w:val="left" w:pos="794"/>
                <w:tab w:val="left" w:pos="1191"/>
              </w:tabs>
              <w:spacing w:before="40" w:after="40"/>
              <w:rPr>
                <w:rFonts w:cs="Segoe UI"/>
                <w:sz w:val="17"/>
                <w:szCs w:val="17"/>
              </w:rPr>
            </w:pPr>
            <w:r w:rsidRPr="00B047A9">
              <w:rPr>
                <w:rFonts w:cs="Segoe UI"/>
                <w:sz w:val="17"/>
                <w:szCs w:val="17"/>
              </w:rPr>
              <w:t>12</w:t>
            </w:r>
          </w:p>
        </w:tc>
        <w:tc>
          <w:tcPr>
            <w:tcW w:w="8647" w:type="dxa"/>
            <w:shd w:val="clear" w:color="auto" w:fill="auto"/>
          </w:tcPr>
          <w:p w:rsidR="002A0515" w:rsidRPr="00FE4698" w:rsidRDefault="002A0515" w:rsidP="00A54BE4">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Collective investment scheme (“CIS”) exposures</w:t>
            </w:r>
            <w:r w:rsidRPr="00FE4698">
              <w:rPr>
                <w:rFonts w:cs="Segoe UI"/>
                <w:i/>
                <w:sz w:val="17"/>
                <w:szCs w:val="17"/>
              </w:rPr>
              <w:t xml:space="preserve"> – LTA</w:t>
            </w:r>
            <w:r>
              <w:rPr>
                <w:rFonts w:cs="Segoe UI"/>
                <w:i/>
                <w:sz w:val="17"/>
                <w:szCs w:val="17"/>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2A0515" w:rsidRPr="004E457E" w:rsidTr="00A54BE4">
        <w:tc>
          <w:tcPr>
            <w:tcW w:w="567" w:type="dxa"/>
            <w:shd w:val="clear" w:color="auto" w:fill="auto"/>
          </w:tcPr>
          <w:p w:rsidR="002A0515" w:rsidRPr="00B047A9" w:rsidRDefault="002A0515" w:rsidP="00A54BE4">
            <w:pPr>
              <w:keepLines/>
              <w:tabs>
                <w:tab w:val="left" w:pos="150"/>
                <w:tab w:val="left" w:pos="397"/>
                <w:tab w:val="left" w:pos="794"/>
                <w:tab w:val="left" w:pos="1191"/>
              </w:tabs>
              <w:spacing w:before="40" w:after="40"/>
              <w:rPr>
                <w:rFonts w:cs="Segoe UI"/>
                <w:sz w:val="17"/>
                <w:szCs w:val="17"/>
              </w:rPr>
            </w:pPr>
            <w:r w:rsidRPr="00B047A9">
              <w:rPr>
                <w:rFonts w:cs="Segoe UI"/>
                <w:sz w:val="17"/>
                <w:szCs w:val="17"/>
              </w:rPr>
              <w:t>13</w:t>
            </w:r>
          </w:p>
        </w:tc>
        <w:tc>
          <w:tcPr>
            <w:tcW w:w="8647" w:type="dxa"/>
            <w:shd w:val="clear" w:color="auto" w:fill="auto"/>
          </w:tcPr>
          <w:p w:rsidR="002A0515" w:rsidRPr="00FE4698" w:rsidRDefault="002A0515" w:rsidP="00A54BE4">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CIS exposures – MBA</w:t>
            </w:r>
            <w:r>
              <w:rPr>
                <w:rFonts w:cs="Segoe UI"/>
                <w:i/>
                <w:sz w:val="17"/>
                <w:szCs w:val="17"/>
                <w:lang w:eastAsia="en-GB"/>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2A0515" w:rsidRPr="004E457E" w:rsidTr="00A54BE4">
        <w:tc>
          <w:tcPr>
            <w:tcW w:w="567" w:type="dxa"/>
            <w:shd w:val="clear" w:color="auto" w:fill="auto"/>
          </w:tcPr>
          <w:p w:rsidR="002A0515" w:rsidRPr="00B047A9" w:rsidRDefault="002A0515" w:rsidP="00A54BE4">
            <w:pPr>
              <w:keepLines/>
              <w:tabs>
                <w:tab w:val="left" w:pos="150"/>
                <w:tab w:val="left" w:pos="397"/>
                <w:tab w:val="left" w:pos="794"/>
                <w:tab w:val="left" w:pos="1191"/>
              </w:tabs>
              <w:spacing w:before="40" w:after="40"/>
              <w:rPr>
                <w:rFonts w:cs="Segoe UI"/>
                <w:sz w:val="17"/>
                <w:szCs w:val="17"/>
              </w:rPr>
            </w:pPr>
            <w:r w:rsidRPr="00B047A9">
              <w:rPr>
                <w:rFonts w:cs="Segoe UI"/>
                <w:sz w:val="17"/>
                <w:szCs w:val="17"/>
              </w:rPr>
              <w:t>14</w:t>
            </w:r>
          </w:p>
        </w:tc>
        <w:tc>
          <w:tcPr>
            <w:tcW w:w="8647" w:type="dxa"/>
            <w:shd w:val="clear" w:color="auto" w:fill="auto"/>
          </w:tcPr>
          <w:p w:rsidR="002A0515" w:rsidRPr="00FE4698" w:rsidRDefault="002A0515" w:rsidP="00A54BE4">
            <w:pPr>
              <w:keepLines/>
              <w:tabs>
                <w:tab w:val="left" w:pos="397"/>
                <w:tab w:val="left" w:pos="794"/>
                <w:tab w:val="left" w:pos="1191"/>
              </w:tabs>
              <w:spacing w:before="40" w:after="40"/>
              <w:jc w:val="both"/>
              <w:rPr>
                <w:rFonts w:cs="Segoe UI"/>
                <w:sz w:val="17"/>
                <w:szCs w:val="17"/>
                <w:lang w:eastAsia="en-GB"/>
              </w:rPr>
            </w:pPr>
            <w:r w:rsidRPr="00FE4698">
              <w:rPr>
                <w:rFonts w:cs="Segoe UI"/>
                <w:i/>
                <w:sz w:val="17"/>
                <w:szCs w:val="17"/>
                <w:lang w:eastAsia="en-GB"/>
              </w:rPr>
              <w:t>CIS exposures – FBA</w:t>
            </w:r>
            <w:r>
              <w:rPr>
                <w:rFonts w:cs="Segoe UI"/>
                <w:i/>
                <w:sz w:val="17"/>
                <w:szCs w:val="17"/>
                <w:lang w:eastAsia="en-GB"/>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2A0515" w:rsidRPr="004E457E" w:rsidTr="00A54BE4">
        <w:tc>
          <w:tcPr>
            <w:tcW w:w="567" w:type="dxa"/>
            <w:shd w:val="clear" w:color="auto" w:fill="auto"/>
          </w:tcPr>
          <w:p w:rsidR="002A0515" w:rsidRPr="00B047A9" w:rsidRDefault="002A0515" w:rsidP="00A54BE4">
            <w:pPr>
              <w:keepLines/>
              <w:tabs>
                <w:tab w:val="left" w:pos="150"/>
                <w:tab w:val="left" w:pos="397"/>
                <w:tab w:val="left" w:pos="794"/>
                <w:tab w:val="left" w:pos="1191"/>
              </w:tabs>
              <w:spacing w:before="40" w:after="40"/>
              <w:rPr>
                <w:rFonts w:cs="Segoe UI"/>
                <w:sz w:val="17"/>
                <w:szCs w:val="17"/>
              </w:rPr>
            </w:pPr>
            <w:r>
              <w:rPr>
                <w:rFonts w:cs="Segoe UI"/>
                <w:sz w:val="17"/>
                <w:szCs w:val="17"/>
              </w:rPr>
              <w:t>14a</w:t>
            </w:r>
          </w:p>
        </w:tc>
        <w:tc>
          <w:tcPr>
            <w:tcW w:w="8647" w:type="dxa"/>
            <w:shd w:val="clear" w:color="auto" w:fill="auto"/>
          </w:tcPr>
          <w:p w:rsidR="002A0515" w:rsidRPr="00FE4698" w:rsidRDefault="002A0515" w:rsidP="00A54BE4">
            <w:pPr>
              <w:keepLines/>
              <w:tabs>
                <w:tab w:val="left" w:pos="397"/>
                <w:tab w:val="left" w:pos="794"/>
                <w:tab w:val="left" w:pos="1191"/>
              </w:tabs>
              <w:spacing w:before="40" w:after="40"/>
              <w:jc w:val="both"/>
              <w:rPr>
                <w:rFonts w:cs="Segoe UI"/>
                <w:i/>
                <w:sz w:val="17"/>
                <w:szCs w:val="17"/>
                <w:lang w:eastAsia="en-GB"/>
              </w:rPr>
            </w:pPr>
            <w:r w:rsidRPr="00FE4698">
              <w:rPr>
                <w:rFonts w:cs="Segoe UI"/>
                <w:i/>
                <w:sz w:val="17"/>
                <w:szCs w:val="17"/>
                <w:lang w:eastAsia="en-GB"/>
              </w:rPr>
              <w:t>CIS exposures – combination of approaches</w:t>
            </w:r>
            <w:r>
              <w:rPr>
                <w:rFonts w:cs="Segoe UI"/>
                <w:i/>
                <w:sz w:val="17"/>
                <w:szCs w:val="17"/>
                <w:lang w:eastAsia="en-GB"/>
              </w:rPr>
              <w:t>*</w:t>
            </w:r>
            <w:r w:rsidRPr="00FE4698">
              <w:rPr>
                <w:rFonts w:cs="Segoe UI"/>
                <w:sz w:val="17"/>
                <w:szCs w:val="17"/>
              </w:rPr>
              <w:t xml:space="preserve">: </w:t>
            </w:r>
            <w:r w:rsidRPr="00610A32">
              <w:rPr>
                <w:rFonts w:cs="Segoe UI"/>
                <w:sz w:val="17"/>
                <w:szCs w:val="17"/>
                <w:lang w:eastAsia="en-GB"/>
              </w:rPr>
              <w:t xml:space="preserve">This row is not applicable before the </w:t>
            </w:r>
            <w:r>
              <w:rPr>
                <w:rFonts w:cs="Segoe UI"/>
                <w:sz w:val="17"/>
                <w:szCs w:val="17"/>
                <w:lang w:eastAsia="en-GB"/>
              </w:rPr>
              <w:t>new</w:t>
            </w:r>
            <w:r w:rsidRPr="00610A32">
              <w:rPr>
                <w:rFonts w:cs="Segoe UI"/>
                <w:sz w:val="17"/>
                <w:szCs w:val="17"/>
                <w:lang w:eastAsia="en-GB"/>
              </w:rPr>
              <w:t xml:space="preserve"> </w:t>
            </w:r>
            <w:r>
              <w:rPr>
                <w:rFonts w:cs="Segoe UI"/>
                <w:sz w:val="17"/>
                <w:szCs w:val="17"/>
                <w:lang w:eastAsia="en-GB"/>
              </w:rPr>
              <w:t>CIS</w:t>
            </w:r>
            <w:r w:rsidRPr="00610A32">
              <w:rPr>
                <w:rFonts w:cs="Segoe UI"/>
                <w:sz w:val="17"/>
                <w:szCs w:val="17"/>
                <w:lang w:eastAsia="en-GB"/>
              </w:rPr>
              <w:t xml:space="preserve"> framework takes effect</w:t>
            </w:r>
            <w:r>
              <w:rPr>
                <w:rFonts w:cs="Segoe UI"/>
                <w:sz w:val="17"/>
                <w:szCs w:val="17"/>
                <w:lang w:eastAsia="en-GB"/>
              </w:rPr>
              <w:t>.</w:t>
            </w:r>
          </w:p>
        </w:tc>
      </w:tr>
      <w:tr w:rsidR="002A0515" w:rsidRPr="004E457E" w:rsidTr="00A54BE4">
        <w:tc>
          <w:tcPr>
            <w:tcW w:w="567" w:type="dxa"/>
            <w:shd w:val="clear" w:color="auto" w:fill="auto"/>
          </w:tcPr>
          <w:p w:rsidR="002A0515" w:rsidRPr="00622192" w:rsidRDefault="002A0515" w:rsidP="00A54BE4">
            <w:pPr>
              <w:keepLines/>
              <w:tabs>
                <w:tab w:val="left" w:pos="150"/>
                <w:tab w:val="left" w:pos="397"/>
                <w:tab w:val="left" w:pos="794"/>
                <w:tab w:val="left" w:pos="1191"/>
              </w:tabs>
              <w:spacing w:before="40" w:after="40"/>
              <w:rPr>
                <w:rFonts w:cs="Segoe UI"/>
                <w:sz w:val="17"/>
                <w:szCs w:val="17"/>
                <w:highlight w:val="yellow"/>
              </w:rPr>
            </w:pPr>
            <w:r w:rsidRPr="00C15837">
              <w:rPr>
                <w:rFonts w:cs="Segoe UI"/>
                <w:sz w:val="17"/>
                <w:szCs w:val="17"/>
              </w:rPr>
              <w:t>15</w:t>
            </w:r>
          </w:p>
        </w:tc>
        <w:tc>
          <w:tcPr>
            <w:tcW w:w="8647" w:type="dxa"/>
            <w:shd w:val="clear" w:color="auto" w:fill="auto"/>
          </w:tcPr>
          <w:p w:rsidR="002A0515" w:rsidRPr="00FE4698" w:rsidRDefault="002A0515" w:rsidP="00A54BE4">
            <w:pPr>
              <w:keepLines/>
              <w:tabs>
                <w:tab w:val="left" w:pos="150"/>
                <w:tab w:val="left" w:pos="397"/>
                <w:tab w:val="left" w:pos="794"/>
                <w:tab w:val="left" w:pos="1191"/>
              </w:tabs>
              <w:spacing w:before="40" w:after="40"/>
              <w:jc w:val="both"/>
              <w:rPr>
                <w:rFonts w:cs="Segoe UI"/>
                <w:sz w:val="17"/>
                <w:szCs w:val="17"/>
              </w:rPr>
            </w:pPr>
            <w:r w:rsidRPr="00FE4698">
              <w:rPr>
                <w:rFonts w:cs="Segoe UI"/>
                <w:i/>
                <w:sz w:val="17"/>
                <w:szCs w:val="17"/>
              </w:rPr>
              <w:t>Settlement risk</w:t>
            </w:r>
            <w:r w:rsidRPr="00FE4698">
              <w:rPr>
                <w:rFonts w:cs="Segoe UI"/>
                <w:sz w:val="17"/>
                <w:szCs w:val="17"/>
              </w:rPr>
              <w:t>: RWA and capital requirements for the exposures arising from the following items:</w:t>
            </w:r>
          </w:p>
          <w:p w:rsidR="002A0515" w:rsidRPr="00FE4698" w:rsidRDefault="002A0515" w:rsidP="002A0515">
            <w:pPr>
              <w:keepLines/>
              <w:numPr>
                <w:ilvl w:val="0"/>
                <w:numId w:val="6"/>
              </w:numPr>
              <w:spacing w:before="40" w:after="40"/>
              <w:jc w:val="both"/>
              <w:rPr>
                <w:rFonts w:cs="Segoe UI"/>
                <w:sz w:val="17"/>
                <w:szCs w:val="17"/>
              </w:rPr>
            </w:pPr>
            <w:r w:rsidRPr="00FE4698">
              <w:rPr>
                <w:rFonts w:cs="Segoe UI"/>
                <w:sz w:val="17"/>
                <w:szCs w:val="17"/>
              </w:rPr>
              <w:t>Transactions in securities (other than repo-style transactions), foreign exchange, and commodities that are entered into on a delivery-versus-payment basis and remain outstanding for 5 or more business days after the settlement date, calculated in accordance with the risk-weight allocated to the exposures as specified in the BCR; and</w:t>
            </w:r>
          </w:p>
          <w:p w:rsidR="002A0515" w:rsidRPr="00FE4698" w:rsidRDefault="002A0515" w:rsidP="002A0515">
            <w:pPr>
              <w:keepLines/>
              <w:numPr>
                <w:ilvl w:val="0"/>
                <w:numId w:val="6"/>
              </w:numPr>
              <w:spacing w:before="40" w:after="40"/>
              <w:jc w:val="both"/>
              <w:rPr>
                <w:rFonts w:cs="Segoe UI"/>
                <w:sz w:val="17"/>
                <w:szCs w:val="17"/>
              </w:rPr>
            </w:pPr>
            <w:r w:rsidRPr="00FE4698">
              <w:rPr>
                <w:rFonts w:cs="Segoe UI"/>
                <w:sz w:val="17"/>
                <w:szCs w:val="17"/>
              </w:rPr>
              <w:t>Transactions in securities (other than repo-style transactions), foreign exchange, and commodities that are entered into on a non-delivery-versus-payment basis and remain unsettled after the settlement date, calculated in accordance with the risk-weight allocated to the exposures as specified in the BCR.</w:t>
            </w:r>
          </w:p>
        </w:tc>
      </w:tr>
      <w:tr w:rsidR="002A0515" w:rsidRPr="004E457E" w:rsidTr="00A54BE4">
        <w:tc>
          <w:tcPr>
            <w:tcW w:w="567" w:type="dxa"/>
            <w:shd w:val="clear" w:color="auto" w:fill="auto"/>
          </w:tcPr>
          <w:p w:rsidR="002A0515" w:rsidRPr="00622192" w:rsidRDefault="002A0515" w:rsidP="00A54BE4">
            <w:pPr>
              <w:keepLines/>
              <w:tabs>
                <w:tab w:val="left" w:pos="150"/>
                <w:tab w:val="left" w:pos="397"/>
                <w:tab w:val="left" w:pos="794"/>
                <w:tab w:val="left" w:pos="1191"/>
              </w:tabs>
              <w:spacing w:before="40" w:after="40"/>
              <w:rPr>
                <w:rFonts w:cs="Segoe UI"/>
                <w:sz w:val="17"/>
                <w:szCs w:val="17"/>
                <w:highlight w:val="yellow"/>
              </w:rPr>
            </w:pPr>
            <w:r w:rsidRPr="0002175E">
              <w:rPr>
                <w:rFonts w:cs="Segoe UI"/>
                <w:sz w:val="17"/>
                <w:szCs w:val="17"/>
              </w:rPr>
              <w:t>16</w:t>
            </w:r>
          </w:p>
        </w:tc>
        <w:tc>
          <w:tcPr>
            <w:tcW w:w="8647" w:type="dxa"/>
            <w:shd w:val="clear" w:color="auto" w:fill="auto"/>
          </w:tcPr>
          <w:p w:rsidR="002A0515" w:rsidRPr="00FE4698" w:rsidRDefault="002A0515" w:rsidP="00A54BE4">
            <w:pPr>
              <w:keepNext/>
              <w:spacing w:before="40" w:after="40"/>
              <w:jc w:val="both"/>
              <w:rPr>
                <w:rFonts w:cs="Segoe UI"/>
                <w:sz w:val="17"/>
                <w:szCs w:val="17"/>
              </w:rPr>
            </w:pPr>
            <w:r w:rsidRPr="00FE4698">
              <w:rPr>
                <w:rFonts w:cs="Segoe UI"/>
                <w:i/>
                <w:sz w:val="17"/>
                <w:szCs w:val="17"/>
              </w:rPr>
              <w:t xml:space="preserve">Securitization exposures in banking book: </w:t>
            </w:r>
            <w:r w:rsidRPr="00FE4698">
              <w:rPr>
                <w:rFonts w:cs="Segoe UI"/>
                <w:sz w:val="17"/>
                <w:szCs w:val="17"/>
              </w:rPr>
              <w:t>The amounts correspond to capital requirements applicable to the securitization exposures in the banking book (Part V of this document).  The RWA should be derived from the capital requirements</w:t>
            </w:r>
            <w:r w:rsidRPr="00FE4698">
              <w:rPr>
                <w:rFonts w:cs="Segoe UI" w:hint="eastAsia"/>
                <w:sz w:val="17"/>
                <w:szCs w:val="17"/>
              </w:rPr>
              <w:t xml:space="preserve"> (</w:t>
            </w:r>
            <w:r w:rsidRPr="00FE4698">
              <w:rPr>
                <w:rFonts w:cs="Segoe UI"/>
                <w:sz w:val="17"/>
                <w:szCs w:val="17"/>
              </w:rPr>
              <w:t xml:space="preserve">including the </w:t>
            </w:r>
            <w:r w:rsidRPr="00FE4698">
              <w:rPr>
                <w:rFonts w:cs="Segoe UI" w:hint="eastAsia"/>
                <w:sz w:val="17"/>
                <w:szCs w:val="17"/>
              </w:rPr>
              <w:t>impact of the cap</w:t>
            </w:r>
            <w:r w:rsidRPr="00FE4698">
              <w:rPr>
                <w:rFonts w:cs="Segoe UI"/>
                <w:sz w:val="17"/>
                <w:szCs w:val="17"/>
              </w:rPr>
              <w:t xml:space="preserve"> specified in the BCR</w:t>
            </w:r>
            <w:r w:rsidRPr="00FE4698">
              <w:rPr>
                <w:rFonts w:cs="Segoe UI" w:hint="eastAsia"/>
                <w:sz w:val="17"/>
                <w:szCs w:val="17"/>
              </w:rPr>
              <w:t>)</w:t>
            </w:r>
            <w:r w:rsidRPr="00FE4698">
              <w:rPr>
                <w:rFonts w:cs="Segoe UI"/>
                <w:sz w:val="17"/>
                <w:szCs w:val="17"/>
              </w:rPr>
              <w:t>, meaning that they do not necessarily systematically correspond to the RWA reported in Templates SEC3 and SEC4, which are before the application of the cap.</w:t>
            </w:r>
          </w:p>
        </w:tc>
      </w:tr>
      <w:tr w:rsidR="002A0515" w:rsidRPr="00EB57BC" w:rsidTr="00A54BE4">
        <w:tc>
          <w:tcPr>
            <w:tcW w:w="567" w:type="dxa"/>
            <w:shd w:val="clear" w:color="auto" w:fill="auto"/>
          </w:tcPr>
          <w:p w:rsidR="002A0515" w:rsidRPr="00F84BA0" w:rsidRDefault="002A0515" w:rsidP="00A54BE4">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17</w:t>
            </w:r>
          </w:p>
        </w:tc>
        <w:tc>
          <w:tcPr>
            <w:tcW w:w="8647" w:type="dxa"/>
            <w:shd w:val="clear" w:color="auto" w:fill="auto"/>
          </w:tcPr>
          <w:p w:rsidR="002A0515" w:rsidRPr="00F84BA0" w:rsidRDefault="002A0515" w:rsidP="00A54BE4">
            <w:pPr>
              <w:keepLines/>
              <w:tabs>
                <w:tab w:val="left" w:pos="397"/>
                <w:tab w:val="left" w:pos="794"/>
                <w:tab w:val="left" w:pos="1191"/>
              </w:tabs>
              <w:spacing w:before="40" w:after="40"/>
              <w:jc w:val="both"/>
              <w:rPr>
                <w:rFonts w:cs="Segoe UI"/>
                <w:sz w:val="17"/>
                <w:szCs w:val="17"/>
              </w:rPr>
            </w:pPr>
            <w:r w:rsidRPr="00F84BA0">
              <w:rPr>
                <w:rFonts w:cs="Segoe UI"/>
                <w:i/>
                <w:sz w:val="17"/>
                <w:szCs w:val="17"/>
                <w:lang w:eastAsia="en-GB"/>
              </w:rPr>
              <w:t>Of which SEC-IRBA</w:t>
            </w:r>
            <w:r w:rsidRPr="00F84BA0">
              <w:rPr>
                <w:rFonts w:cs="Segoe UI"/>
                <w:sz w:val="17"/>
                <w:szCs w:val="17"/>
                <w:lang w:eastAsia="en-GB"/>
              </w:rPr>
              <w:t xml:space="preserve">: </w:t>
            </w:r>
            <w:r w:rsidRPr="00F84BA0">
              <w:rPr>
                <w:rFonts w:cs="Segoe UI"/>
                <w:sz w:val="17"/>
                <w:szCs w:val="17"/>
              </w:rPr>
              <w:t>RWA and capital requirements calculated using the SEC-IRBA under the BCR.</w:t>
            </w:r>
          </w:p>
        </w:tc>
      </w:tr>
      <w:tr w:rsidR="002A0515" w:rsidRPr="004E457E" w:rsidTr="00A54BE4">
        <w:tc>
          <w:tcPr>
            <w:tcW w:w="567" w:type="dxa"/>
            <w:shd w:val="clear" w:color="auto" w:fill="auto"/>
          </w:tcPr>
          <w:p w:rsidR="002A0515" w:rsidRPr="00F84BA0" w:rsidRDefault="002A0515" w:rsidP="00A54BE4">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18</w:t>
            </w:r>
          </w:p>
        </w:tc>
        <w:tc>
          <w:tcPr>
            <w:tcW w:w="8647" w:type="dxa"/>
            <w:shd w:val="clear" w:color="auto" w:fill="auto"/>
          </w:tcPr>
          <w:p w:rsidR="002A0515" w:rsidRPr="00F84BA0" w:rsidRDefault="002A0515" w:rsidP="00A54BE4">
            <w:pPr>
              <w:keepLines/>
              <w:tabs>
                <w:tab w:val="left" w:pos="397"/>
                <w:tab w:val="left" w:pos="794"/>
                <w:tab w:val="left" w:pos="1191"/>
              </w:tabs>
              <w:spacing w:before="40" w:after="40"/>
              <w:jc w:val="both"/>
              <w:rPr>
                <w:rFonts w:cs="Segoe UI"/>
                <w:sz w:val="17"/>
                <w:szCs w:val="17"/>
              </w:rPr>
            </w:pPr>
            <w:r w:rsidRPr="00F84BA0">
              <w:rPr>
                <w:rFonts w:cs="Segoe UI"/>
                <w:i/>
                <w:sz w:val="17"/>
                <w:szCs w:val="17"/>
                <w:lang w:eastAsia="en-GB"/>
              </w:rPr>
              <w:t>Of which SEC-ERBA</w:t>
            </w:r>
            <w:r>
              <w:rPr>
                <w:rFonts w:cs="Segoe UI"/>
                <w:i/>
                <w:sz w:val="17"/>
                <w:szCs w:val="17"/>
                <w:lang w:eastAsia="en-GB"/>
              </w:rPr>
              <w:t xml:space="preserve"> (including IAA)</w:t>
            </w:r>
            <w:r w:rsidRPr="00F84BA0">
              <w:rPr>
                <w:rFonts w:cs="Segoe UI"/>
                <w:sz w:val="17"/>
                <w:szCs w:val="17"/>
                <w:lang w:eastAsia="en-GB"/>
              </w:rPr>
              <w:t xml:space="preserve">: </w:t>
            </w:r>
            <w:r w:rsidRPr="00F84BA0">
              <w:rPr>
                <w:rFonts w:cs="Segoe UI"/>
                <w:sz w:val="17"/>
                <w:szCs w:val="17"/>
              </w:rPr>
              <w:t xml:space="preserve">RWA and capital requirements calculated using the </w:t>
            </w:r>
            <w:r w:rsidRPr="00F84BA0">
              <w:rPr>
                <w:rFonts w:cs="Segoe UI"/>
                <w:sz w:val="17"/>
                <w:szCs w:val="17"/>
                <w:lang w:eastAsia="en-GB"/>
              </w:rPr>
              <w:t xml:space="preserve">SEC-ERBA </w:t>
            </w:r>
            <w:r>
              <w:rPr>
                <w:rFonts w:cs="Segoe UI"/>
                <w:sz w:val="17"/>
                <w:szCs w:val="17"/>
                <w:lang w:eastAsia="en-GB"/>
              </w:rPr>
              <w:t xml:space="preserve">(including those exposures that the AI uses IAA to determine the risk-weights) </w:t>
            </w:r>
            <w:r w:rsidRPr="00F84BA0">
              <w:rPr>
                <w:rFonts w:cs="Segoe UI"/>
                <w:sz w:val="17"/>
                <w:szCs w:val="17"/>
              </w:rPr>
              <w:t>under the BCR.</w:t>
            </w:r>
          </w:p>
        </w:tc>
      </w:tr>
      <w:tr w:rsidR="002A0515" w:rsidRPr="004E457E" w:rsidTr="00A54BE4">
        <w:tc>
          <w:tcPr>
            <w:tcW w:w="567" w:type="dxa"/>
            <w:shd w:val="clear" w:color="auto" w:fill="auto"/>
          </w:tcPr>
          <w:p w:rsidR="002A0515" w:rsidRPr="00F84BA0" w:rsidRDefault="002A0515" w:rsidP="00A54BE4">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19</w:t>
            </w:r>
          </w:p>
        </w:tc>
        <w:tc>
          <w:tcPr>
            <w:tcW w:w="8647" w:type="dxa"/>
            <w:shd w:val="clear" w:color="auto" w:fill="auto"/>
          </w:tcPr>
          <w:p w:rsidR="002A0515" w:rsidRPr="00F84BA0" w:rsidRDefault="002A0515" w:rsidP="00A54BE4">
            <w:pPr>
              <w:keepLines/>
              <w:tabs>
                <w:tab w:val="left" w:pos="397"/>
                <w:tab w:val="left" w:pos="794"/>
                <w:tab w:val="left" w:pos="1191"/>
              </w:tabs>
              <w:spacing w:before="40" w:after="40"/>
              <w:jc w:val="both"/>
              <w:rPr>
                <w:rFonts w:cs="Segoe UI"/>
                <w:sz w:val="17"/>
                <w:szCs w:val="17"/>
              </w:rPr>
            </w:pPr>
            <w:r w:rsidRPr="00F84BA0">
              <w:rPr>
                <w:rFonts w:cs="Segoe UI"/>
                <w:i/>
                <w:sz w:val="17"/>
                <w:szCs w:val="17"/>
                <w:lang w:eastAsia="en-GB"/>
              </w:rPr>
              <w:t>Of which SEC-SA</w:t>
            </w:r>
            <w:r w:rsidRPr="00F84BA0">
              <w:rPr>
                <w:rFonts w:cs="Segoe UI"/>
                <w:sz w:val="17"/>
                <w:szCs w:val="17"/>
                <w:lang w:eastAsia="en-GB"/>
              </w:rPr>
              <w:t xml:space="preserve">: </w:t>
            </w:r>
            <w:r w:rsidRPr="00F84BA0">
              <w:rPr>
                <w:rFonts w:cs="Segoe UI"/>
                <w:sz w:val="17"/>
                <w:szCs w:val="17"/>
              </w:rPr>
              <w:t xml:space="preserve">RWA and capital requirements calculated using the </w:t>
            </w:r>
            <w:r w:rsidRPr="00F84BA0">
              <w:rPr>
                <w:rFonts w:cs="Segoe UI"/>
                <w:sz w:val="17"/>
                <w:szCs w:val="17"/>
                <w:lang w:eastAsia="en-GB"/>
              </w:rPr>
              <w:t xml:space="preserve">SEC-SA </w:t>
            </w:r>
            <w:r w:rsidRPr="00F84BA0">
              <w:rPr>
                <w:rFonts w:cs="Segoe UI"/>
                <w:sz w:val="17"/>
                <w:szCs w:val="17"/>
              </w:rPr>
              <w:t>under the BCR.</w:t>
            </w:r>
          </w:p>
        </w:tc>
      </w:tr>
      <w:tr w:rsidR="002A0515" w:rsidRPr="004E457E" w:rsidTr="00A54BE4">
        <w:tc>
          <w:tcPr>
            <w:tcW w:w="567" w:type="dxa"/>
            <w:shd w:val="clear" w:color="auto" w:fill="auto"/>
          </w:tcPr>
          <w:p w:rsidR="002A0515" w:rsidRPr="00F84BA0" w:rsidRDefault="002A0515" w:rsidP="00A54BE4">
            <w:pPr>
              <w:keepLines/>
              <w:tabs>
                <w:tab w:val="left" w:pos="150"/>
                <w:tab w:val="left" w:pos="397"/>
                <w:tab w:val="left" w:pos="794"/>
                <w:tab w:val="left" w:pos="1191"/>
              </w:tabs>
              <w:spacing w:before="40" w:after="40"/>
              <w:rPr>
                <w:rFonts w:cs="Segoe UI"/>
                <w:sz w:val="17"/>
                <w:szCs w:val="17"/>
              </w:rPr>
            </w:pPr>
            <w:r w:rsidRPr="00F84BA0">
              <w:rPr>
                <w:rFonts w:cs="Segoe UI"/>
                <w:sz w:val="17"/>
                <w:szCs w:val="17"/>
              </w:rPr>
              <w:t>19a</w:t>
            </w:r>
          </w:p>
        </w:tc>
        <w:tc>
          <w:tcPr>
            <w:tcW w:w="8647" w:type="dxa"/>
            <w:shd w:val="clear" w:color="auto" w:fill="auto"/>
          </w:tcPr>
          <w:p w:rsidR="002A0515" w:rsidRPr="00F84BA0" w:rsidRDefault="002A0515" w:rsidP="00A54BE4">
            <w:pPr>
              <w:keepLines/>
              <w:tabs>
                <w:tab w:val="left" w:pos="150"/>
                <w:tab w:val="left" w:pos="397"/>
                <w:tab w:val="left" w:pos="794"/>
                <w:tab w:val="left" w:pos="1191"/>
              </w:tabs>
              <w:spacing w:before="40" w:after="40"/>
              <w:jc w:val="both"/>
              <w:rPr>
                <w:rFonts w:cs="Segoe UI"/>
                <w:sz w:val="17"/>
                <w:szCs w:val="17"/>
              </w:rPr>
            </w:pPr>
            <w:r w:rsidRPr="00F84BA0">
              <w:rPr>
                <w:rFonts w:cs="Segoe UI"/>
                <w:i/>
                <w:sz w:val="17"/>
                <w:szCs w:val="17"/>
              </w:rPr>
              <w:t>Of which SEC-FBA</w:t>
            </w:r>
            <w:r w:rsidRPr="00F84BA0">
              <w:rPr>
                <w:rFonts w:cs="Segoe UI"/>
                <w:sz w:val="17"/>
                <w:szCs w:val="17"/>
              </w:rPr>
              <w:t xml:space="preserve">: RWA and capital requirements calculated using the </w:t>
            </w:r>
            <w:r w:rsidRPr="00F84BA0">
              <w:rPr>
                <w:rFonts w:cs="Segoe UI"/>
                <w:sz w:val="17"/>
                <w:szCs w:val="17"/>
                <w:lang w:eastAsia="en-GB"/>
              </w:rPr>
              <w:t xml:space="preserve">SEC-FBA </w:t>
            </w:r>
            <w:r w:rsidRPr="00F84BA0">
              <w:rPr>
                <w:rFonts w:cs="Segoe UI"/>
                <w:sz w:val="17"/>
                <w:szCs w:val="17"/>
              </w:rPr>
              <w:t>under the BCR.</w:t>
            </w:r>
          </w:p>
        </w:tc>
      </w:tr>
      <w:tr w:rsidR="002A0515" w:rsidRPr="004E457E" w:rsidTr="00A54BE4">
        <w:tc>
          <w:tcPr>
            <w:tcW w:w="567" w:type="dxa"/>
            <w:shd w:val="clear" w:color="auto" w:fill="auto"/>
          </w:tcPr>
          <w:p w:rsidR="002A0515" w:rsidRPr="00D1767E" w:rsidRDefault="002A0515" w:rsidP="00A54BE4">
            <w:pPr>
              <w:keepLines/>
              <w:tabs>
                <w:tab w:val="left" w:pos="150"/>
                <w:tab w:val="left" w:pos="397"/>
                <w:tab w:val="left" w:pos="794"/>
                <w:tab w:val="left" w:pos="1191"/>
              </w:tabs>
              <w:spacing w:before="40" w:after="40"/>
              <w:rPr>
                <w:rFonts w:cs="Segoe UI"/>
                <w:sz w:val="17"/>
                <w:szCs w:val="17"/>
              </w:rPr>
            </w:pPr>
            <w:r w:rsidRPr="00D1767E">
              <w:rPr>
                <w:rFonts w:cs="Segoe UI"/>
                <w:sz w:val="17"/>
                <w:szCs w:val="17"/>
              </w:rPr>
              <w:t>20</w:t>
            </w:r>
          </w:p>
        </w:tc>
        <w:tc>
          <w:tcPr>
            <w:tcW w:w="8647" w:type="dxa"/>
            <w:shd w:val="clear" w:color="auto" w:fill="auto"/>
          </w:tcPr>
          <w:p w:rsidR="002A0515" w:rsidRPr="004E457E" w:rsidRDefault="002A0515" w:rsidP="00A54BE4">
            <w:pPr>
              <w:keepLines/>
              <w:tabs>
                <w:tab w:val="left" w:pos="150"/>
                <w:tab w:val="left" w:pos="397"/>
                <w:tab w:val="left" w:pos="794"/>
                <w:tab w:val="left" w:pos="1191"/>
              </w:tabs>
              <w:spacing w:before="40" w:after="40"/>
              <w:jc w:val="both"/>
              <w:rPr>
                <w:rFonts w:cs="Segoe UI"/>
                <w:i/>
                <w:sz w:val="17"/>
                <w:szCs w:val="17"/>
              </w:rPr>
            </w:pPr>
            <w:r w:rsidRPr="007B2B5C">
              <w:rPr>
                <w:rFonts w:cs="Segoe UI"/>
                <w:i/>
                <w:sz w:val="17"/>
                <w:szCs w:val="17"/>
              </w:rPr>
              <w:t>Market risk</w:t>
            </w:r>
            <w:r w:rsidRPr="007B2B5C">
              <w:rPr>
                <w:rFonts w:cs="Segoe UI"/>
                <w:sz w:val="17"/>
                <w:szCs w:val="17"/>
              </w:rPr>
              <w:t>: The amounts correspond to the RWA and capital requirements in the market risk framework (</w:t>
            </w:r>
            <w:r w:rsidRPr="00FE4698">
              <w:rPr>
                <w:rFonts w:cs="Segoe UI"/>
                <w:sz w:val="17"/>
                <w:szCs w:val="17"/>
              </w:rPr>
              <w:t xml:space="preserve">Part VI of this document), which also includes capital charges for securitization exposures booked in the trading book but excludes the </w:t>
            </w:r>
            <w:r>
              <w:rPr>
                <w:rFonts w:cs="Segoe UI"/>
                <w:sz w:val="17"/>
                <w:szCs w:val="17"/>
              </w:rPr>
              <w:t xml:space="preserve">capital charges for </w:t>
            </w:r>
            <w:r w:rsidRPr="00FE4698">
              <w:rPr>
                <w:rFonts w:cs="Segoe UI"/>
                <w:sz w:val="17"/>
                <w:szCs w:val="17"/>
              </w:rPr>
              <w:t xml:space="preserve">counterparty </w:t>
            </w:r>
            <w:r>
              <w:rPr>
                <w:rFonts w:cs="Segoe UI"/>
                <w:sz w:val="17"/>
                <w:szCs w:val="17"/>
              </w:rPr>
              <w:t xml:space="preserve">default </w:t>
            </w:r>
            <w:r w:rsidRPr="00FE4698">
              <w:rPr>
                <w:rFonts w:cs="Segoe UI"/>
                <w:sz w:val="17"/>
                <w:szCs w:val="17"/>
              </w:rPr>
              <w:t>risk</w:t>
            </w:r>
            <w:r>
              <w:rPr>
                <w:rFonts w:cs="Segoe UI"/>
                <w:sz w:val="17"/>
                <w:szCs w:val="17"/>
              </w:rPr>
              <w:t>, default fund contributions and CVA risk</w:t>
            </w:r>
            <w:r w:rsidRPr="00FE4698">
              <w:rPr>
                <w:rFonts w:cs="Segoe UI"/>
                <w:sz w:val="17"/>
                <w:szCs w:val="17"/>
              </w:rPr>
              <w:t xml:space="preserve"> associated with covered positions (reported in Part IV of this document and</w:t>
            </w:r>
            <w:r>
              <w:rPr>
                <w:rFonts w:cs="Segoe UI"/>
                <w:sz w:val="17"/>
                <w:szCs w:val="17"/>
              </w:rPr>
              <w:t xml:space="preserve"> in</w:t>
            </w:r>
            <w:r w:rsidRPr="00FE4698">
              <w:rPr>
                <w:rFonts w:cs="Segoe UI"/>
                <w:sz w:val="17"/>
                <w:szCs w:val="17"/>
              </w:rPr>
              <w:t xml:space="preserve"> row</w:t>
            </w:r>
            <w:r>
              <w:rPr>
                <w:rFonts w:cs="Segoe UI"/>
                <w:sz w:val="17"/>
                <w:szCs w:val="17"/>
              </w:rPr>
              <w:t>s</w:t>
            </w:r>
            <w:r w:rsidRPr="00FE4698">
              <w:rPr>
                <w:rFonts w:cs="Segoe UI"/>
                <w:sz w:val="17"/>
                <w:szCs w:val="17"/>
              </w:rPr>
              <w:t xml:space="preserve"> 6</w:t>
            </w:r>
            <w:r>
              <w:rPr>
                <w:rFonts w:cs="Segoe UI"/>
                <w:sz w:val="17"/>
                <w:szCs w:val="17"/>
              </w:rPr>
              <w:t xml:space="preserve"> and 10</w:t>
            </w:r>
            <w:r w:rsidRPr="00FE4698">
              <w:rPr>
                <w:rFonts w:cs="Segoe UI"/>
                <w:sz w:val="17"/>
                <w:szCs w:val="17"/>
              </w:rPr>
              <w:t xml:space="preserve"> of this template).  An AI should derive the market risk RWAs by multiplying t</w:t>
            </w:r>
            <w:r w:rsidRPr="007B2B5C">
              <w:rPr>
                <w:rFonts w:cs="Segoe UI"/>
                <w:sz w:val="17"/>
                <w:szCs w:val="17"/>
              </w:rPr>
              <w:t>he market risk capital requirements by 12.5.</w:t>
            </w:r>
          </w:p>
        </w:tc>
      </w:tr>
      <w:tr w:rsidR="002A0515" w:rsidRPr="004E457E" w:rsidTr="00A54BE4">
        <w:tc>
          <w:tcPr>
            <w:tcW w:w="567" w:type="dxa"/>
            <w:shd w:val="clear" w:color="auto" w:fill="auto"/>
          </w:tcPr>
          <w:p w:rsidR="002A0515" w:rsidRPr="00D1767E" w:rsidRDefault="002A0515" w:rsidP="00A54BE4">
            <w:pPr>
              <w:keepLines/>
              <w:tabs>
                <w:tab w:val="left" w:pos="150"/>
                <w:tab w:val="left" w:pos="397"/>
                <w:tab w:val="left" w:pos="794"/>
                <w:tab w:val="left" w:pos="1191"/>
              </w:tabs>
              <w:spacing w:before="40" w:after="40"/>
              <w:rPr>
                <w:rFonts w:cs="Segoe UI"/>
                <w:sz w:val="17"/>
                <w:szCs w:val="17"/>
              </w:rPr>
            </w:pPr>
            <w:r w:rsidRPr="00D1767E">
              <w:rPr>
                <w:rFonts w:cs="Segoe UI"/>
                <w:sz w:val="17"/>
                <w:szCs w:val="17"/>
              </w:rPr>
              <w:t>21</w:t>
            </w:r>
          </w:p>
        </w:tc>
        <w:tc>
          <w:tcPr>
            <w:tcW w:w="8647" w:type="dxa"/>
            <w:shd w:val="clear" w:color="auto" w:fill="auto"/>
          </w:tcPr>
          <w:p w:rsidR="002A0515" w:rsidRPr="004E457E" w:rsidRDefault="002A0515" w:rsidP="00A54BE4">
            <w:pPr>
              <w:keepLines/>
              <w:tabs>
                <w:tab w:val="left" w:pos="397"/>
                <w:tab w:val="left" w:pos="794"/>
                <w:tab w:val="left" w:pos="1191"/>
              </w:tabs>
              <w:spacing w:before="40" w:after="40"/>
              <w:jc w:val="both"/>
              <w:rPr>
                <w:rFonts w:cs="Segoe UI"/>
                <w:sz w:val="17"/>
                <w:szCs w:val="17"/>
              </w:rPr>
            </w:pPr>
            <w:r w:rsidRPr="004E457E">
              <w:rPr>
                <w:rFonts w:cs="Segoe UI"/>
                <w:i/>
                <w:sz w:val="17"/>
                <w:szCs w:val="17"/>
                <w:lang w:eastAsia="en-GB"/>
              </w:rPr>
              <w:t>Of which STM approach</w:t>
            </w:r>
            <w:r w:rsidRPr="004E457E">
              <w:rPr>
                <w:rFonts w:cs="Segoe UI"/>
                <w:sz w:val="17"/>
                <w:szCs w:val="17"/>
                <w:lang w:eastAsia="en-GB"/>
              </w:rPr>
              <w:t xml:space="preserve">: </w:t>
            </w:r>
            <w:r w:rsidRPr="004E457E">
              <w:rPr>
                <w:rFonts w:cs="Segoe UI"/>
                <w:sz w:val="17"/>
                <w:szCs w:val="17"/>
              </w:rPr>
              <w:t>RWA and capital requirements calculated using the STM approach under the BCR</w:t>
            </w:r>
            <w:r>
              <w:rPr>
                <w:rFonts w:cs="Segoe UI"/>
                <w:sz w:val="17"/>
                <w:szCs w:val="17"/>
              </w:rPr>
              <w:t xml:space="preserve">, including </w:t>
            </w:r>
            <w:r w:rsidRPr="007B2B5C">
              <w:rPr>
                <w:rFonts w:cs="Segoe UI"/>
                <w:sz w:val="17"/>
                <w:szCs w:val="17"/>
              </w:rPr>
              <w:t>capital charges for securitization exposures booked in the trading book</w:t>
            </w:r>
            <w:r w:rsidRPr="004E457E">
              <w:rPr>
                <w:rFonts w:cs="Segoe UI"/>
                <w:sz w:val="17"/>
                <w:szCs w:val="17"/>
              </w:rPr>
              <w:t xml:space="preserve">.  </w:t>
            </w:r>
            <w:r w:rsidRPr="00214964">
              <w:rPr>
                <w:rFonts w:cs="Segoe UI"/>
                <w:sz w:val="17"/>
                <w:szCs w:val="17"/>
              </w:rPr>
              <w:t>The value in</w:t>
            </w:r>
            <w:r w:rsidRPr="00214964">
              <w:rPr>
                <w:rFonts w:cs="Segoe UI"/>
                <w:sz w:val="17"/>
                <w:szCs w:val="17"/>
                <w:lang w:eastAsia="en-GB"/>
              </w:rPr>
              <w:t xml:space="preserve"> [OV1:21/a] is equal </w:t>
            </w:r>
            <w:r w:rsidRPr="00214964">
              <w:rPr>
                <w:rFonts w:cs="Segoe UI"/>
                <w:sz w:val="17"/>
                <w:szCs w:val="17"/>
              </w:rPr>
              <w:t>to the value in</w:t>
            </w:r>
            <w:r w:rsidRPr="00214964">
              <w:rPr>
                <w:rFonts w:cs="Segoe UI"/>
                <w:sz w:val="17"/>
                <w:szCs w:val="17"/>
                <w:lang w:eastAsia="en-GB"/>
              </w:rPr>
              <w:t xml:space="preserve"> [MR1:</w:t>
            </w:r>
            <w:r>
              <w:rPr>
                <w:rFonts w:cs="Segoe UI"/>
                <w:sz w:val="17"/>
                <w:szCs w:val="17"/>
                <w:lang w:eastAsia="en-GB"/>
              </w:rPr>
              <w:t>9</w:t>
            </w:r>
            <w:r w:rsidRPr="00214964">
              <w:rPr>
                <w:rFonts w:cs="Segoe UI"/>
                <w:sz w:val="17"/>
                <w:szCs w:val="17"/>
                <w:lang w:eastAsia="en-GB"/>
              </w:rPr>
              <w:t>/a].</w:t>
            </w:r>
          </w:p>
        </w:tc>
      </w:tr>
      <w:tr w:rsidR="002A0515" w:rsidRPr="004E457E" w:rsidTr="00A54BE4">
        <w:tc>
          <w:tcPr>
            <w:tcW w:w="567" w:type="dxa"/>
            <w:shd w:val="clear" w:color="auto" w:fill="auto"/>
          </w:tcPr>
          <w:p w:rsidR="002A0515" w:rsidRPr="00D1767E" w:rsidRDefault="002A0515" w:rsidP="00A54BE4">
            <w:pPr>
              <w:keepLines/>
              <w:tabs>
                <w:tab w:val="left" w:pos="150"/>
                <w:tab w:val="left" w:pos="397"/>
                <w:tab w:val="left" w:pos="794"/>
                <w:tab w:val="left" w:pos="1191"/>
              </w:tabs>
              <w:spacing w:before="40" w:after="40"/>
              <w:rPr>
                <w:rFonts w:cs="Segoe UI"/>
                <w:sz w:val="17"/>
                <w:szCs w:val="17"/>
              </w:rPr>
            </w:pPr>
            <w:r w:rsidRPr="00D1767E">
              <w:rPr>
                <w:rFonts w:cs="Segoe UI"/>
                <w:sz w:val="17"/>
                <w:szCs w:val="17"/>
              </w:rPr>
              <w:t>22</w:t>
            </w:r>
          </w:p>
        </w:tc>
        <w:tc>
          <w:tcPr>
            <w:tcW w:w="8647" w:type="dxa"/>
            <w:shd w:val="clear" w:color="auto" w:fill="auto"/>
          </w:tcPr>
          <w:p w:rsidR="002A0515" w:rsidRPr="00214964" w:rsidRDefault="002A0515" w:rsidP="00A54BE4">
            <w:pPr>
              <w:keepLines/>
              <w:tabs>
                <w:tab w:val="left" w:pos="397"/>
                <w:tab w:val="left" w:pos="794"/>
                <w:tab w:val="left" w:pos="1191"/>
              </w:tabs>
              <w:spacing w:before="40" w:after="40"/>
              <w:jc w:val="both"/>
              <w:rPr>
                <w:rFonts w:cs="Segoe UI"/>
                <w:sz w:val="17"/>
                <w:szCs w:val="17"/>
              </w:rPr>
            </w:pPr>
            <w:r w:rsidRPr="00214964">
              <w:rPr>
                <w:rFonts w:cs="Segoe UI"/>
                <w:i/>
                <w:sz w:val="17"/>
                <w:szCs w:val="17"/>
                <w:lang w:eastAsia="en-GB"/>
              </w:rPr>
              <w:t>Of which IMM approach</w:t>
            </w:r>
            <w:r w:rsidRPr="00214964">
              <w:rPr>
                <w:rFonts w:cs="Segoe UI"/>
                <w:sz w:val="17"/>
                <w:szCs w:val="17"/>
                <w:lang w:eastAsia="en-GB"/>
              </w:rPr>
              <w:t xml:space="preserve">: </w:t>
            </w:r>
            <w:r w:rsidRPr="00214964">
              <w:rPr>
                <w:rFonts w:cs="Segoe UI"/>
                <w:sz w:val="17"/>
                <w:szCs w:val="17"/>
              </w:rPr>
              <w:t xml:space="preserve">RWA and capital requirements calculated using the IMM approach under the BCR.  The value in </w:t>
            </w:r>
            <w:r w:rsidRPr="00214964">
              <w:rPr>
                <w:rFonts w:cs="Segoe UI"/>
                <w:sz w:val="17"/>
                <w:szCs w:val="17"/>
                <w:lang w:eastAsia="en-GB"/>
              </w:rPr>
              <w:t>[OV1:22/a]</w:t>
            </w:r>
            <w:r w:rsidRPr="00214964">
              <w:rPr>
                <w:rFonts w:cs="Segoe UI"/>
                <w:sz w:val="17"/>
                <w:szCs w:val="17"/>
              </w:rPr>
              <w:t xml:space="preserve"> is equal to the value in </w:t>
            </w:r>
            <w:r w:rsidRPr="00214964">
              <w:rPr>
                <w:rFonts w:cs="Segoe UI"/>
                <w:sz w:val="17"/>
                <w:szCs w:val="17"/>
                <w:lang w:eastAsia="en-GB"/>
              </w:rPr>
              <w:t>[MR2:</w:t>
            </w:r>
            <w:r>
              <w:rPr>
                <w:rFonts w:cs="Segoe UI"/>
                <w:sz w:val="17"/>
                <w:szCs w:val="17"/>
                <w:lang w:eastAsia="en-GB"/>
              </w:rPr>
              <w:t>8/f</w:t>
            </w:r>
            <w:r w:rsidRPr="00214964">
              <w:rPr>
                <w:rFonts w:cs="Segoe UI"/>
                <w:sz w:val="17"/>
                <w:szCs w:val="17"/>
                <w:lang w:eastAsia="en-GB"/>
              </w:rPr>
              <w:t>]</w:t>
            </w:r>
            <w:r w:rsidRPr="00214964">
              <w:rPr>
                <w:rFonts w:cs="Segoe UI"/>
                <w:sz w:val="17"/>
                <w:szCs w:val="17"/>
              </w:rPr>
              <w:t>.</w:t>
            </w:r>
          </w:p>
        </w:tc>
      </w:tr>
      <w:tr w:rsidR="002A0515" w:rsidRPr="004E457E" w:rsidTr="00A54BE4">
        <w:tc>
          <w:tcPr>
            <w:tcW w:w="567" w:type="dxa"/>
            <w:shd w:val="clear" w:color="auto" w:fill="auto"/>
          </w:tcPr>
          <w:p w:rsidR="002A0515" w:rsidRPr="00622192" w:rsidRDefault="002A0515" w:rsidP="00A54BE4">
            <w:pPr>
              <w:keepLines/>
              <w:tabs>
                <w:tab w:val="left" w:pos="150"/>
                <w:tab w:val="left" w:pos="397"/>
                <w:tab w:val="left" w:pos="794"/>
                <w:tab w:val="left" w:pos="1191"/>
              </w:tabs>
              <w:spacing w:before="40" w:after="40"/>
              <w:rPr>
                <w:rFonts w:cs="Segoe UI"/>
                <w:sz w:val="17"/>
                <w:szCs w:val="17"/>
                <w:highlight w:val="yellow"/>
              </w:rPr>
            </w:pPr>
            <w:r w:rsidRPr="008C194E">
              <w:rPr>
                <w:rFonts w:cs="Segoe UI"/>
                <w:sz w:val="17"/>
                <w:szCs w:val="17"/>
              </w:rPr>
              <w:t>23</w:t>
            </w:r>
          </w:p>
        </w:tc>
        <w:tc>
          <w:tcPr>
            <w:tcW w:w="8647" w:type="dxa"/>
            <w:shd w:val="clear" w:color="auto" w:fill="auto"/>
          </w:tcPr>
          <w:p w:rsidR="002A0515" w:rsidRPr="003E6DD6" w:rsidRDefault="002A0515" w:rsidP="00A54BE4">
            <w:pPr>
              <w:keepLines/>
              <w:tabs>
                <w:tab w:val="left" w:pos="397"/>
                <w:tab w:val="left" w:pos="794"/>
                <w:tab w:val="left" w:pos="1191"/>
              </w:tabs>
              <w:spacing w:before="40" w:after="40"/>
              <w:jc w:val="both"/>
              <w:rPr>
                <w:rFonts w:cs="Segoe UI"/>
                <w:sz w:val="17"/>
                <w:szCs w:val="17"/>
                <w:highlight w:val="yellow"/>
                <w:lang w:eastAsia="en-GB"/>
              </w:rPr>
            </w:pPr>
            <w:r w:rsidRPr="007B5E64">
              <w:rPr>
                <w:rFonts w:cs="Segoe UI"/>
                <w:i/>
                <w:sz w:val="17"/>
                <w:szCs w:val="17"/>
                <w:lang w:eastAsia="en-GB"/>
              </w:rPr>
              <w:t>Capital charge for switch between exposures in trading book and banking book</w:t>
            </w:r>
            <w:r>
              <w:rPr>
                <w:rFonts w:cs="Segoe UI"/>
                <w:i/>
                <w:sz w:val="17"/>
                <w:szCs w:val="17"/>
                <w:lang w:eastAsia="en-GB"/>
              </w:rPr>
              <w:t xml:space="preserve"> </w:t>
            </w:r>
            <w:r w:rsidRPr="00DA473B">
              <w:rPr>
                <w:rFonts w:cs="Segoe UI"/>
                <w:i/>
                <w:sz w:val="17"/>
                <w:szCs w:val="17"/>
                <w:lang w:eastAsia="en-GB"/>
              </w:rPr>
              <w:t>(not applicable before the revised market risk framework takes effect)</w:t>
            </w:r>
            <w:r>
              <w:rPr>
                <w:rFonts w:cs="Segoe UI"/>
                <w:i/>
                <w:sz w:val="17"/>
                <w:szCs w:val="17"/>
                <w:lang w:eastAsia="en-GB"/>
              </w:rPr>
              <w:t>*</w:t>
            </w:r>
            <w:r w:rsidRPr="007B5E64">
              <w:rPr>
                <w:rFonts w:cs="Segoe UI"/>
                <w:sz w:val="17"/>
                <w:szCs w:val="17"/>
                <w:lang w:eastAsia="en-GB"/>
              </w:rPr>
              <w:t xml:space="preserve">: </w:t>
            </w:r>
            <w:r w:rsidRPr="00610A32">
              <w:rPr>
                <w:rFonts w:cs="Segoe UI"/>
                <w:sz w:val="17"/>
                <w:szCs w:val="17"/>
                <w:lang w:eastAsia="en-GB"/>
              </w:rPr>
              <w:t>This row is not applicable before the revised market risk framework takes effect</w:t>
            </w:r>
            <w:r>
              <w:rPr>
                <w:rFonts w:cs="Segoe UI"/>
                <w:sz w:val="17"/>
                <w:szCs w:val="17"/>
                <w:lang w:eastAsia="en-GB"/>
              </w:rPr>
              <w:t>.</w:t>
            </w:r>
          </w:p>
        </w:tc>
      </w:tr>
      <w:tr w:rsidR="002A0515" w:rsidRPr="004E457E" w:rsidTr="00A54BE4">
        <w:tc>
          <w:tcPr>
            <w:tcW w:w="567" w:type="dxa"/>
            <w:shd w:val="clear" w:color="auto" w:fill="auto"/>
          </w:tcPr>
          <w:p w:rsidR="002A0515" w:rsidRPr="00622192" w:rsidRDefault="002A0515" w:rsidP="00A54BE4">
            <w:pPr>
              <w:keepLines/>
              <w:tabs>
                <w:tab w:val="left" w:pos="150"/>
                <w:tab w:val="left" w:pos="397"/>
                <w:tab w:val="left" w:pos="794"/>
                <w:tab w:val="left" w:pos="1191"/>
              </w:tabs>
              <w:spacing w:before="40" w:after="40"/>
              <w:rPr>
                <w:rFonts w:cs="Segoe UI"/>
                <w:sz w:val="17"/>
                <w:szCs w:val="17"/>
                <w:highlight w:val="yellow"/>
              </w:rPr>
            </w:pPr>
            <w:r w:rsidRPr="004B07C3">
              <w:rPr>
                <w:rFonts w:cs="Segoe UI"/>
                <w:sz w:val="17"/>
                <w:szCs w:val="17"/>
              </w:rPr>
              <w:t>24</w:t>
            </w:r>
          </w:p>
        </w:tc>
        <w:tc>
          <w:tcPr>
            <w:tcW w:w="8647" w:type="dxa"/>
            <w:shd w:val="clear" w:color="auto" w:fill="auto"/>
          </w:tcPr>
          <w:p w:rsidR="002A0515" w:rsidRPr="004E457E" w:rsidRDefault="002A0515" w:rsidP="00A54BE4">
            <w:pPr>
              <w:keepLines/>
              <w:tabs>
                <w:tab w:val="left" w:pos="150"/>
                <w:tab w:val="left" w:pos="397"/>
                <w:tab w:val="left" w:pos="794"/>
                <w:tab w:val="left" w:pos="1191"/>
              </w:tabs>
              <w:spacing w:before="40" w:after="40"/>
              <w:jc w:val="both"/>
              <w:rPr>
                <w:rFonts w:cs="Segoe UI"/>
                <w:sz w:val="17"/>
                <w:szCs w:val="17"/>
              </w:rPr>
            </w:pPr>
            <w:r w:rsidRPr="004E457E">
              <w:rPr>
                <w:rFonts w:cs="Segoe UI"/>
                <w:i/>
                <w:sz w:val="17"/>
                <w:szCs w:val="17"/>
              </w:rPr>
              <w:t>Operational risk</w:t>
            </w:r>
            <w:r w:rsidRPr="004B07C3">
              <w:rPr>
                <w:rFonts w:cs="Segoe UI"/>
                <w:sz w:val="17"/>
                <w:szCs w:val="17"/>
              </w:rPr>
              <w:t>:</w:t>
            </w:r>
            <w:r w:rsidRPr="004E457E">
              <w:rPr>
                <w:rFonts w:cs="Segoe UI"/>
                <w:sz w:val="17"/>
                <w:szCs w:val="17"/>
              </w:rPr>
              <w:t xml:space="preserve"> The amounts correspond to capital requirements in the operational risk framework specified in the BCR.</w:t>
            </w:r>
          </w:p>
        </w:tc>
      </w:tr>
      <w:tr w:rsidR="002A0515" w:rsidRPr="004E457E" w:rsidTr="00A54BE4">
        <w:tc>
          <w:tcPr>
            <w:tcW w:w="567" w:type="dxa"/>
            <w:shd w:val="clear" w:color="auto" w:fill="auto"/>
          </w:tcPr>
          <w:p w:rsidR="002A0515" w:rsidRPr="004B07C3" w:rsidRDefault="002A0515" w:rsidP="00A54BE4">
            <w:pPr>
              <w:keepLines/>
              <w:tabs>
                <w:tab w:val="left" w:pos="150"/>
                <w:tab w:val="left" w:pos="397"/>
                <w:tab w:val="left" w:pos="794"/>
                <w:tab w:val="left" w:pos="1191"/>
              </w:tabs>
              <w:spacing w:before="40" w:after="40"/>
              <w:rPr>
                <w:rFonts w:cs="Segoe UI"/>
                <w:sz w:val="17"/>
                <w:szCs w:val="17"/>
              </w:rPr>
            </w:pPr>
            <w:r>
              <w:rPr>
                <w:rFonts w:cs="Segoe UI"/>
                <w:sz w:val="17"/>
                <w:szCs w:val="17"/>
              </w:rPr>
              <w:t>24a</w:t>
            </w:r>
          </w:p>
        </w:tc>
        <w:tc>
          <w:tcPr>
            <w:tcW w:w="8647" w:type="dxa"/>
            <w:shd w:val="clear" w:color="auto" w:fill="auto"/>
          </w:tcPr>
          <w:p w:rsidR="002A0515" w:rsidRPr="004E457E" w:rsidRDefault="002A0515" w:rsidP="00A54BE4">
            <w:pPr>
              <w:keepLines/>
              <w:tabs>
                <w:tab w:val="left" w:pos="150"/>
                <w:tab w:val="left" w:pos="397"/>
                <w:tab w:val="left" w:pos="794"/>
                <w:tab w:val="left" w:pos="1191"/>
              </w:tabs>
              <w:spacing w:before="40" w:after="40"/>
              <w:jc w:val="both"/>
              <w:rPr>
                <w:rFonts w:cs="Segoe UI"/>
                <w:i/>
                <w:sz w:val="17"/>
                <w:szCs w:val="17"/>
              </w:rPr>
            </w:pPr>
            <w:r>
              <w:rPr>
                <w:rFonts w:cs="Segoe UI"/>
                <w:i/>
                <w:sz w:val="17"/>
                <w:szCs w:val="17"/>
                <w:lang w:eastAsia="en-GB"/>
              </w:rPr>
              <w:t>Sovereign c</w:t>
            </w:r>
            <w:r w:rsidRPr="001234E1">
              <w:rPr>
                <w:rFonts w:cs="Segoe UI"/>
                <w:i/>
                <w:sz w:val="17"/>
                <w:szCs w:val="17"/>
                <w:lang w:eastAsia="en-GB"/>
              </w:rPr>
              <w:t>oncentration risk</w:t>
            </w:r>
            <w:r>
              <w:rPr>
                <w:rFonts w:cs="Segoe UI"/>
                <w:sz w:val="17"/>
                <w:szCs w:val="17"/>
                <w:lang w:eastAsia="en-GB"/>
              </w:rPr>
              <w:t xml:space="preserve">: </w:t>
            </w:r>
            <w:r w:rsidRPr="004E457E">
              <w:rPr>
                <w:rFonts w:cs="Segoe UI"/>
                <w:sz w:val="17"/>
                <w:szCs w:val="17"/>
              </w:rPr>
              <w:t xml:space="preserve">The amounts correspond to capital requirements in the </w:t>
            </w:r>
            <w:r>
              <w:rPr>
                <w:rFonts w:cs="Segoe UI"/>
                <w:sz w:val="17"/>
                <w:szCs w:val="17"/>
              </w:rPr>
              <w:t>sovereign concentration</w:t>
            </w:r>
            <w:r w:rsidRPr="004E457E">
              <w:rPr>
                <w:rFonts w:cs="Segoe UI"/>
                <w:sz w:val="17"/>
                <w:szCs w:val="17"/>
              </w:rPr>
              <w:t xml:space="preserve"> risk framework specified in the BCR.</w:t>
            </w:r>
          </w:p>
        </w:tc>
      </w:tr>
      <w:tr w:rsidR="002A0515" w:rsidRPr="004E457E" w:rsidTr="00A54BE4">
        <w:tc>
          <w:tcPr>
            <w:tcW w:w="567" w:type="dxa"/>
            <w:shd w:val="clear" w:color="auto" w:fill="auto"/>
          </w:tcPr>
          <w:p w:rsidR="002A0515" w:rsidRPr="00AE64D1" w:rsidRDefault="002A0515" w:rsidP="00A54BE4">
            <w:pPr>
              <w:keepLines/>
              <w:tabs>
                <w:tab w:val="left" w:pos="150"/>
                <w:tab w:val="left" w:pos="397"/>
                <w:tab w:val="left" w:pos="794"/>
                <w:tab w:val="left" w:pos="1191"/>
              </w:tabs>
              <w:spacing w:before="40" w:after="40"/>
              <w:rPr>
                <w:rFonts w:cs="Segoe UI"/>
                <w:sz w:val="17"/>
                <w:szCs w:val="17"/>
              </w:rPr>
            </w:pPr>
            <w:r w:rsidRPr="00AE64D1">
              <w:rPr>
                <w:rFonts w:cs="Segoe UI"/>
                <w:sz w:val="17"/>
                <w:szCs w:val="17"/>
              </w:rPr>
              <w:t>25</w:t>
            </w:r>
          </w:p>
        </w:tc>
        <w:tc>
          <w:tcPr>
            <w:tcW w:w="8647" w:type="dxa"/>
            <w:shd w:val="clear" w:color="auto" w:fill="auto"/>
          </w:tcPr>
          <w:p w:rsidR="002A0515" w:rsidRPr="00AE64D1" w:rsidRDefault="002A0515" w:rsidP="00A54BE4">
            <w:pPr>
              <w:keepLines/>
              <w:tabs>
                <w:tab w:val="left" w:pos="150"/>
                <w:tab w:val="left" w:pos="397"/>
                <w:tab w:val="left" w:pos="794"/>
                <w:tab w:val="left" w:pos="1191"/>
              </w:tabs>
              <w:spacing w:before="40" w:after="40"/>
              <w:jc w:val="both"/>
              <w:rPr>
                <w:rFonts w:cs="Segoe UI"/>
                <w:sz w:val="17"/>
                <w:szCs w:val="17"/>
              </w:rPr>
            </w:pPr>
            <w:r w:rsidRPr="00AE64D1">
              <w:rPr>
                <w:rFonts w:cs="Segoe UI"/>
                <w:i/>
                <w:sz w:val="17"/>
                <w:szCs w:val="17"/>
              </w:rPr>
              <w:t>Amounts below the thresholds for deduction (subject to 250% RW)</w:t>
            </w:r>
            <w:r w:rsidRPr="00AE64D1">
              <w:rPr>
                <w:rFonts w:cs="Segoe UI"/>
                <w:sz w:val="17"/>
                <w:szCs w:val="17"/>
              </w:rPr>
              <w:t>: The amounts correspond to items subject to a 250% risk-weight pursuant to the BCR.</w:t>
            </w:r>
          </w:p>
        </w:tc>
      </w:tr>
      <w:tr w:rsidR="002A0515" w:rsidRPr="004E457E" w:rsidTr="00A54BE4">
        <w:tc>
          <w:tcPr>
            <w:tcW w:w="567" w:type="dxa"/>
            <w:shd w:val="clear" w:color="auto" w:fill="auto"/>
          </w:tcPr>
          <w:p w:rsidR="002A0515" w:rsidRPr="004B2378" w:rsidRDefault="002A0515" w:rsidP="00A54BE4">
            <w:pPr>
              <w:keepLines/>
              <w:tabs>
                <w:tab w:val="left" w:pos="150"/>
                <w:tab w:val="left" w:pos="397"/>
                <w:tab w:val="left" w:pos="794"/>
                <w:tab w:val="left" w:pos="1191"/>
              </w:tabs>
              <w:spacing w:before="40" w:after="40"/>
              <w:rPr>
                <w:rFonts w:cs="Segoe UI"/>
                <w:sz w:val="17"/>
                <w:szCs w:val="17"/>
              </w:rPr>
            </w:pPr>
            <w:r w:rsidRPr="004B2378">
              <w:rPr>
                <w:rFonts w:cs="Segoe UI"/>
                <w:sz w:val="17"/>
                <w:szCs w:val="17"/>
              </w:rPr>
              <w:t>26</w:t>
            </w:r>
          </w:p>
        </w:tc>
        <w:tc>
          <w:tcPr>
            <w:tcW w:w="8647" w:type="dxa"/>
            <w:shd w:val="clear" w:color="auto" w:fill="auto"/>
          </w:tcPr>
          <w:p w:rsidR="002A0515" w:rsidRPr="004B2378" w:rsidRDefault="002A0515" w:rsidP="00A54BE4">
            <w:pPr>
              <w:keepLines/>
              <w:tabs>
                <w:tab w:val="left" w:pos="150"/>
                <w:tab w:val="left" w:pos="397"/>
                <w:tab w:val="left" w:pos="794"/>
                <w:tab w:val="left" w:pos="1191"/>
              </w:tabs>
              <w:spacing w:before="40" w:after="40"/>
              <w:jc w:val="both"/>
              <w:rPr>
                <w:rFonts w:cs="Segoe UI"/>
                <w:i/>
                <w:sz w:val="17"/>
                <w:szCs w:val="17"/>
              </w:rPr>
            </w:pPr>
            <w:r w:rsidRPr="004B2378">
              <w:rPr>
                <w:rFonts w:cs="Segoe UI"/>
                <w:i/>
                <w:sz w:val="17"/>
                <w:szCs w:val="17"/>
              </w:rPr>
              <w:t>Capital floor adjustment</w:t>
            </w:r>
            <w:r w:rsidRPr="004B2378">
              <w:rPr>
                <w:rFonts w:cs="Segoe UI"/>
                <w:sz w:val="17"/>
                <w:szCs w:val="17"/>
              </w:rPr>
              <w:t>: The impact of any Pillar 1 capital floor adjustment on total RWA and total capital requirements determined according to the BCR so that the total amount in row 27 below reflects the total RWA and total capital requirements, in</w:t>
            </w:r>
            <w:r>
              <w:rPr>
                <w:rFonts w:cs="Segoe UI"/>
                <w:sz w:val="17"/>
                <w:szCs w:val="17"/>
              </w:rPr>
              <w:t>cluding such an adjustment.  An</w:t>
            </w:r>
            <w:r w:rsidRPr="004B2378">
              <w:rPr>
                <w:rFonts w:cs="Segoe UI"/>
                <w:sz w:val="17"/>
                <w:szCs w:val="17"/>
              </w:rPr>
              <w:t xml:space="preserve"> AI should not report Pillar 2 adjustments applied to it in this row.  Where the capital floor or adjustments are applied at a more granular level (e.g. at risk category level), the AI should reflect them in the capital requirements reported for the risk category.</w:t>
            </w:r>
          </w:p>
        </w:tc>
      </w:tr>
      <w:tr w:rsidR="002A0515" w:rsidRPr="004E457E" w:rsidTr="00A54BE4">
        <w:tc>
          <w:tcPr>
            <w:tcW w:w="567" w:type="dxa"/>
            <w:shd w:val="clear" w:color="auto" w:fill="auto"/>
          </w:tcPr>
          <w:p w:rsidR="002A0515" w:rsidRPr="00CF37B9" w:rsidRDefault="002A0515" w:rsidP="00A54BE4">
            <w:pPr>
              <w:keepLines/>
              <w:tabs>
                <w:tab w:val="left" w:pos="150"/>
                <w:tab w:val="left" w:pos="397"/>
                <w:tab w:val="left" w:pos="794"/>
                <w:tab w:val="left" w:pos="1191"/>
              </w:tabs>
              <w:spacing w:before="40" w:after="40"/>
              <w:rPr>
                <w:rFonts w:cs="Segoe UI"/>
                <w:sz w:val="17"/>
                <w:szCs w:val="17"/>
              </w:rPr>
            </w:pPr>
            <w:r w:rsidRPr="00CF37B9">
              <w:rPr>
                <w:rFonts w:cs="Segoe UI"/>
                <w:sz w:val="17"/>
                <w:szCs w:val="17"/>
              </w:rPr>
              <w:t>26a</w:t>
            </w:r>
          </w:p>
        </w:tc>
        <w:tc>
          <w:tcPr>
            <w:tcW w:w="8647" w:type="dxa"/>
            <w:shd w:val="clear" w:color="auto" w:fill="auto"/>
          </w:tcPr>
          <w:p w:rsidR="002A0515" w:rsidRPr="00CF37B9" w:rsidRDefault="002A0515" w:rsidP="00A54BE4">
            <w:pPr>
              <w:keepLines/>
              <w:tabs>
                <w:tab w:val="left" w:pos="150"/>
                <w:tab w:val="left" w:pos="397"/>
                <w:tab w:val="left" w:pos="794"/>
                <w:tab w:val="left" w:pos="1191"/>
              </w:tabs>
              <w:spacing w:before="40" w:after="40"/>
              <w:jc w:val="both"/>
              <w:rPr>
                <w:rFonts w:cs="Segoe UI"/>
                <w:sz w:val="17"/>
                <w:szCs w:val="17"/>
              </w:rPr>
            </w:pPr>
            <w:r w:rsidRPr="00CF37B9">
              <w:rPr>
                <w:rFonts w:cs="Segoe UI"/>
                <w:i/>
                <w:sz w:val="17"/>
                <w:szCs w:val="17"/>
              </w:rPr>
              <w:t>Deduction to RWA</w:t>
            </w:r>
            <w:r w:rsidRPr="00CF37B9">
              <w:rPr>
                <w:rFonts w:cs="Segoe UI"/>
                <w:sz w:val="17"/>
                <w:szCs w:val="17"/>
              </w:rPr>
              <w:t>: This is the sum of values in rows 26b and 26c.</w:t>
            </w:r>
          </w:p>
        </w:tc>
      </w:tr>
      <w:tr w:rsidR="002A0515" w:rsidRPr="004E457E" w:rsidTr="00A54BE4">
        <w:tc>
          <w:tcPr>
            <w:tcW w:w="567" w:type="dxa"/>
            <w:shd w:val="clear" w:color="auto" w:fill="auto"/>
          </w:tcPr>
          <w:p w:rsidR="002A0515" w:rsidRPr="00622192" w:rsidRDefault="002A0515" w:rsidP="00A54BE4">
            <w:pPr>
              <w:keepLines/>
              <w:tabs>
                <w:tab w:val="left" w:pos="150"/>
                <w:tab w:val="left" w:pos="397"/>
                <w:tab w:val="left" w:pos="794"/>
                <w:tab w:val="left" w:pos="1191"/>
              </w:tabs>
              <w:spacing w:before="40" w:after="40"/>
              <w:rPr>
                <w:rFonts w:cs="Segoe UI"/>
                <w:sz w:val="17"/>
                <w:szCs w:val="17"/>
                <w:highlight w:val="yellow"/>
              </w:rPr>
            </w:pPr>
            <w:r w:rsidRPr="00BD5038">
              <w:rPr>
                <w:rFonts w:cs="Segoe UI"/>
                <w:sz w:val="17"/>
                <w:szCs w:val="17"/>
              </w:rPr>
              <w:t>26b</w:t>
            </w:r>
          </w:p>
        </w:tc>
        <w:tc>
          <w:tcPr>
            <w:tcW w:w="8647" w:type="dxa"/>
            <w:shd w:val="clear" w:color="auto" w:fill="auto"/>
          </w:tcPr>
          <w:p w:rsidR="002A0515" w:rsidRPr="004E457E" w:rsidRDefault="002A0515" w:rsidP="00A54BE4">
            <w:pPr>
              <w:keepLines/>
              <w:tabs>
                <w:tab w:val="left" w:pos="150"/>
                <w:tab w:val="left" w:pos="397"/>
                <w:tab w:val="left" w:pos="794"/>
                <w:tab w:val="left" w:pos="1191"/>
              </w:tabs>
              <w:spacing w:before="40" w:after="40"/>
              <w:jc w:val="both"/>
              <w:rPr>
                <w:rFonts w:cs="Segoe UI"/>
                <w:i/>
                <w:sz w:val="17"/>
                <w:szCs w:val="17"/>
              </w:rPr>
            </w:pPr>
            <w:r w:rsidRPr="00892BF1">
              <w:rPr>
                <w:rFonts w:cs="Segoe UI"/>
                <w:i/>
                <w:sz w:val="17"/>
                <w:szCs w:val="17"/>
                <w:lang w:eastAsia="en-GB"/>
              </w:rPr>
              <w:t>Of which portion of regulatory reserve for general banking risks and collective provisions which is not included in Tier 2 Capital:</w:t>
            </w:r>
            <w:r w:rsidRPr="004E457E">
              <w:rPr>
                <w:rFonts w:cs="Segoe UI"/>
                <w:sz w:val="17"/>
                <w:szCs w:val="17"/>
                <w:lang w:eastAsia="en-GB"/>
              </w:rPr>
              <w:t xml:space="preserve"> This row is only applicable for an AI using the STC, BSC</w:t>
            </w:r>
            <w:r>
              <w:rPr>
                <w:rFonts w:cs="Segoe UI"/>
                <w:sz w:val="17"/>
                <w:szCs w:val="17"/>
                <w:lang w:eastAsia="en-GB"/>
              </w:rPr>
              <w:t>,</w:t>
            </w:r>
            <w:r w:rsidRPr="004E457E">
              <w:rPr>
                <w:rFonts w:cs="Segoe UI"/>
                <w:sz w:val="17"/>
                <w:szCs w:val="17"/>
                <w:lang w:eastAsia="en-GB"/>
              </w:rPr>
              <w:t xml:space="preserve"> </w:t>
            </w:r>
            <w:r w:rsidRPr="000E0EB0">
              <w:rPr>
                <w:rFonts w:cs="Segoe UI"/>
                <w:sz w:val="17"/>
                <w:szCs w:val="17"/>
                <w:lang w:eastAsia="en-GB"/>
              </w:rPr>
              <w:t>SEC-SA</w:t>
            </w:r>
            <w:r>
              <w:rPr>
                <w:rFonts w:cs="Segoe UI"/>
                <w:sz w:val="17"/>
                <w:szCs w:val="17"/>
                <w:lang w:eastAsia="en-GB"/>
              </w:rPr>
              <w:t>, SEC-ERBA or SEC-FBA</w:t>
            </w:r>
            <w:r w:rsidRPr="004E457E">
              <w:rPr>
                <w:rFonts w:cs="Segoe UI"/>
                <w:sz w:val="17"/>
                <w:szCs w:val="17"/>
                <w:lang w:eastAsia="en-GB"/>
              </w:rPr>
              <w:t xml:space="preserve"> approach for calculating credit risk for all or part of its exposures.  It refers to and has the same calculation basis as the amount reported in item </w:t>
            </w:r>
            <w:r w:rsidRPr="00BD5038">
              <w:rPr>
                <w:rFonts w:cs="Segoe UI"/>
                <w:sz w:val="17"/>
                <w:szCs w:val="17"/>
                <w:lang w:eastAsia="en-GB"/>
              </w:rPr>
              <w:t>2.12(</w:t>
            </w:r>
            <w:proofErr w:type="spellStart"/>
            <w:r w:rsidRPr="00BD5038">
              <w:rPr>
                <w:rFonts w:cs="Segoe UI"/>
                <w:sz w:val="17"/>
                <w:szCs w:val="17"/>
                <w:lang w:eastAsia="en-GB"/>
              </w:rPr>
              <w:t>i</w:t>
            </w:r>
            <w:proofErr w:type="spellEnd"/>
            <w:r w:rsidRPr="00BD5038">
              <w:rPr>
                <w:rFonts w:cs="Segoe UI"/>
                <w:sz w:val="17"/>
                <w:szCs w:val="17"/>
                <w:lang w:eastAsia="en-GB"/>
              </w:rPr>
              <w:t>), Division A, Part I of CAR return MA(BS)3.</w:t>
            </w:r>
          </w:p>
        </w:tc>
      </w:tr>
      <w:tr w:rsidR="002A0515" w:rsidRPr="004E457E" w:rsidTr="00A54BE4">
        <w:tc>
          <w:tcPr>
            <w:tcW w:w="567" w:type="dxa"/>
            <w:shd w:val="clear" w:color="auto" w:fill="auto"/>
          </w:tcPr>
          <w:p w:rsidR="002A0515" w:rsidRPr="00593071" w:rsidRDefault="002A0515" w:rsidP="00A54BE4">
            <w:pPr>
              <w:keepLines/>
              <w:tabs>
                <w:tab w:val="left" w:pos="150"/>
                <w:tab w:val="left" w:pos="397"/>
                <w:tab w:val="left" w:pos="794"/>
                <w:tab w:val="left" w:pos="1191"/>
              </w:tabs>
              <w:spacing w:before="40" w:after="40"/>
              <w:rPr>
                <w:rFonts w:cs="Segoe UI"/>
                <w:sz w:val="17"/>
                <w:szCs w:val="17"/>
              </w:rPr>
            </w:pPr>
            <w:r w:rsidRPr="00593071">
              <w:rPr>
                <w:rFonts w:cs="Segoe UI"/>
                <w:sz w:val="17"/>
                <w:szCs w:val="17"/>
              </w:rPr>
              <w:t>26c</w:t>
            </w:r>
          </w:p>
        </w:tc>
        <w:tc>
          <w:tcPr>
            <w:tcW w:w="8647" w:type="dxa"/>
            <w:shd w:val="clear" w:color="auto" w:fill="auto"/>
          </w:tcPr>
          <w:p w:rsidR="002A0515" w:rsidRPr="00593071" w:rsidRDefault="002A0515" w:rsidP="00A54BE4">
            <w:pPr>
              <w:keepLines/>
              <w:tabs>
                <w:tab w:val="left" w:pos="150"/>
                <w:tab w:val="left" w:pos="397"/>
                <w:tab w:val="left" w:pos="794"/>
                <w:tab w:val="left" w:pos="1191"/>
              </w:tabs>
              <w:spacing w:before="40" w:after="40"/>
              <w:jc w:val="both"/>
              <w:rPr>
                <w:rFonts w:cs="Segoe UI"/>
                <w:i/>
                <w:sz w:val="17"/>
                <w:szCs w:val="17"/>
              </w:rPr>
            </w:pPr>
            <w:r w:rsidRPr="00593071">
              <w:rPr>
                <w:rFonts w:cs="Segoe UI"/>
                <w:i/>
                <w:sz w:val="17"/>
                <w:szCs w:val="17"/>
                <w:lang w:eastAsia="en-GB"/>
              </w:rPr>
              <w:t>Of which portion of cumulative fair value gains arising from the revaluation of land and buildings which is not included in Tier 2 Capital</w:t>
            </w:r>
            <w:r w:rsidRPr="00593071">
              <w:rPr>
                <w:rFonts w:cs="Segoe UI"/>
                <w:sz w:val="17"/>
                <w:szCs w:val="17"/>
                <w:lang w:eastAsia="en-GB"/>
              </w:rPr>
              <w:t>: It refers to and has the same calculation basis as the amount reported in item 2.12(ii), Division A, Part I of CAR return MA(BS)3.</w:t>
            </w:r>
          </w:p>
        </w:tc>
      </w:tr>
      <w:tr w:rsidR="002A0515" w:rsidRPr="004E457E" w:rsidTr="00A54BE4">
        <w:tc>
          <w:tcPr>
            <w:tcW w:w="567" w:type="dxa"/>
            <w:shd w:val="clear" w:color="auto" w:fill="auto"/>
          </w:tcPr>
          <w:p w:rsidR="002A0515" w:rsidRPr="004B43DE" w:rsidRDefault="002A0515" w:rsidP="00A54BE4">
            <w:pPr>
              <w:keepLines/>
              <w:tabs>
                <w:tab w:val="left" w:pos="150"/>
                <w:tab w:val="left" w:pos="397"/>
                <w:tab w:val="left" w:pos="794"/>
                <w:tab w:val="left" w:pos="1191"/>
              </w:tabs>
              <w:spacing w:before="40" w:after="40"/>
              <w:rPr>
                <w:rFonts w:cs="Segoe UI"/>
                <w:sz w:val="17"/>
                <w:szCs w:val="17"/>
              </w:rPr>
            </w:pPr>
            <w:r w:rsidRPr="004B43DE">
              <w:rPr>
                <w:rFonts w:cs="Segoe UI"/>
                <w:sz w:val="17"/>
                <w:szCs w:val="17"/>
              </w:rPr>
              <w:t>27</w:t>
            </w:r>
          </w:p>
        </w:tc>
        <w:tc>
          <w:tcPr>
            <w:tcW w:w="8647" w:type="dxa"/>
            <w:shd w:val="clear" w:color="auto" w:fill="auto"/>
          </w:tcPr>
          <w:p w:rsidR="002A0515" w:rsidRPr="004B43DE" w:rsidRDefault="002A0515" w:rsidP="00A54BE4">
            <w:pPr>
              <w:keepLines/>
              <w:tabs>
                <w:tab w:val="left" w:pos="150"/>
                <w:tab w:val="left" w:pos="397"/>
                <w:tab w:val="left" w:pos="794"/>
                <w:tab w:val="left" w:pos="1191"/>
              </w:tabs>
              <w:spacing w:before="40" w:after="40"/>
              <w:jc w:val="both"/>
              <w:rPr>
                <w:rFonts w:cs="Segoe UI"/>
                <w:sz w:val="17"/>
                <w:szCs w:val="17"/>
                <w:lang w:eastAsia="en-GB"/>
              </w:rPr>
            </w:pPr>
            <w:r w:rsidRPr="004B43DE">
              <w:rPr>
                <w:rFonts w:cs="Segoe UI"/>
                <w:i/>
                <w:sz w:val="17"/>
                <w:szCs w:val="17"/>
              </w:rPr>
              <w:t>Total</w:t>
            </w:r>
            <w:r w:rsidRPr="004B43DE">
              <w:rPr>
                <w:rFonts w:cs="Segoe UI"/>
                <w:sz w:val="17"/>
                <w:szCs w:val="17"/>
              </w:rPr>
              <w:t xml:space="preserve">: This is equal to the sum of values in rows </w:t>
            </w:r>
            <w:r w:rsidRPr="004B43DE">
              <w:rPr>
                <w:rFonts w:cs="Segoe UI"/>
                <w:sz w:val="17"/>
                <w:szCs w:val="17"/>
                <w:lang w:eastAsia="en-GB"/>
              </w:rPr>
              <w:t xml:space="preserve">1, 6, 10, 11, </w:t>
            </w:r>
            <w:r>
              <w:rPr>
                <w:rFonts w:cs="Segoe UI"/>
                <w:sz w:val="17"/>
                <w:szCs w:val="17"/>
                <w:lang w:eastAsia="en-GB"/>
              </w:rPr>
              <w:t>[</w:t>
            </w:r>
            <w:r w:rsidRPr="004B43DE">
              <w:rPr>
                <w:rFonts w:cs="Segoe UI"/>
                <w:sz w:val="17"/>
                <w:szCs w:val="17"/>
                <w:lang w:eastAsia="en-GB"/>
              </w:rPr>
              <w:t xml:space="preserve">12, 13, 14, </w:t>
            </w:r>
            <w:r>
              <w:rPr>
                <w:rFonts w:cs="Segoe UI"/>
                <w:sz w:val="17"/>
                <w:szCs w:val="17"/>
                <w:lang w:eastAsia="en-GB"/>
              </w:rPr>
              <w:t>14</w:t>
            </w:r>
            <w:proofErr w:type="gramStart"/>
            <w:r>
              <w:rPr>
                <w:rFonts w:cs="Segoe UI"/>
                <w:sz w:val="17"/>
                <w:szCs w:val="17"/>
                <w:lang w:eastAsia="en-GB"/>
              </w:rPr>
              <w:t>a]*</w:t>
            </w:r>
            <w:proofErr w:type="gramEnd"/>
            <w:r>
              <w:rPr>
                <w:rFonts w:cs="Segoe UI"/>
                <w:sz w:val="17"/>
                <w:szCs w:val="17"/>
                <w:lang w:eastAsia="en-GB"/>
              </w:rPr>
              <w:t xml:space="preserve">, </w:t>
            </w:r>
            <w:r w:rsidRPr="004B43DE">
              <w:rPr>
                <w:rFonts w:cs="Segoe UI"/>
                <w:sz w:val="17"/>
                <w:szCs w:val="17"/>
                <w:lang w:eastAsia="en-GB"/>
              </w:rPr>
              <w:t xml:space="preserve">15, 16, 20, </w:t>
            </w:r>
            <w:r>
              <w:rPr>
                <w:rFonts w:cs="Segoe UI"/>
                <w:sz w:val="17"/>
                <w:szCs w:val="17"/>
                <w:lang w:eastAsia="en-GB"/>
              </w:rPr>
              <w:t>[</w:t>
            </w:r>
            <w:r w:rsidRPr="004B43DE">
              <w:rPr>
                <w:rFonts w:cs="Segoe UI"/>
                <w:sz w:val="17"/>
                <w:szCs w:val="17"/>
                <w:lang w:eastAsia="en-GB"/>
              </w:rPr>
              <w:t>23</w:t>
            </w:r>
            <w:r>
              <w:rPr>
                <w:rFonts w:cs="Segoe UI"/>
                <w:sz w:val="17"/>
                <w:szCs w:val="17"/>
                <w:lang w:eastAsia="en-GB"/>
              </w:rPr>
              <w:t>]*</w:t>
            </w:r>
            <w:r w:rsidRPr="004B43DE">
              <w:rPr>
                <w:rFonts w:cs="Segoe UI"/>
                <w:sz w:val="17"/>
                <w:szCs w:val="17"/>
                <w:lang w:eastAsia="en-GB"/>
              </w:rPr>
              <w:t xml:space="preserve">, 24, </w:t>
            </w:r>
            <w:r>
              <w:rPr>
                <w:rFonts w:cs="Segoe UI"/>
                <w:sz w:val="17"/>
                <w:szCs w:val="17"/>
                <w:lang w:eastAsia="en-GB"/>
              </w:rPr>
              <w:t xml:space="preserve">24a, </w:t>
            </w:r>
            <w:r w:rsidRPr="004B43DE">
              <w:rPr>
                <w:rFonts w:cs="Segoe UI"/>
                <w:sz w:val="17"/>
                <w:szCs w:val="17"/>
                <w:lang w:eastAsia="en-GB"/>
              </w:rPr>
              <w:t>25 and 26, minus the deduction value in row 26a.</w:t>
            </w:r>
            <w:r>
              <w:rPr>
                <w:rFonts w:cs="Segoe UI"/>
                <w:sz w:val="17"/>
                <w:szCs w:val="17"/>
                <w:lang w:eastAsia="en-GB"/>
              </w:rPr>
              <w:t xml:space="preserve">  [ ]* only applicable when relevant policy frameworks take effect.</w:t>
            </w:r>
          </w:p>
        </w:tc>
      </w:tr>
    </w:tbl>
    <w:p w:rsidR="002A0515" w:rsidRDefault="002A0515" w:rsidP="002A0515">
      <w:pPr>
        <w:keepNext/>
        <w:keepLines/>
        <w:tabs>
          <w:tab w:val="left" w:pos="426"/>
        </w:tabs>
        <w:spacing w:after="360"/>
        <w:ind w:rightChars="-142" w:right="-284"/>
        <w:outlineLvl w:val="0"/>
        <w:sectPr w:rsidR="002A0515" w:rsidSect="00A54BE4">
          <w:footerReference w:type="default" r:id="rId9"/>
          <w:pgSz w:w="11906" w:h="16838"/>
          <w:pgMar w:top="1440" w:right="1800" w:bottom="1276" w:left="1800" w:header="851" w:footer="992" w:gutter="0"/>
          <w:cols w:space="425"/>
          <w:docGrid w:type="lines" w:linePitch="360"/>
        </w:sectPr>
      </w:pPr>
    </w:p>
    <w:p w:rsidR="002A0515" w:rsidRPr="001449B5" w:rsidRDefault="002A0515" w:rsidP="002A0515">
      <w:pPr>
        <w:keepNext/>
        <w:keepLines/>
        <w:tabs>
          <w:tab w:val="left" w:pos="567"/>
        </w:tabs>
        <w:spacing w:after="360"/>
        <w:ind w:leftChars="-283" w:left="-566" w:rightChars="-142" w:right="-284"/>
        <w:outlineLvl w:val="0"/>
        <w:rPr>
          <w:color w:val="C00000"/>
          <w:sz w:val="28"/>
          <w:szCs w:val="28"/>
        </w:rPr>
      </w:pPr>
      <w:r w:rsidRPr="001449B5">
        <w:rPr>
          <w:color w:val="C00000"/>
          <w:sz w:val="28"/>
          <w:szCs w:val="28"/>
        </w:rPr>
        <w:t>Part IIC:</w:t>
      </w:r>
      <w:r w:rsidRPr="001449B5">
        <w:rPr>
          <w:color w:val="C00000"/>
          <w:sz w:val="28"/>
          <w:szCs w:val="28"/>
        </w:rPr>
        <w:tab/>
        <w:t>Leverage ratio</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A0515" w:rsidRPr="00D97E28" w:rsidTr="00A54BE4">
        <w:tc>
          <w:tcPr>
            <w:tcW w:w="9242" w:type="dxa"/>
            <w:gridSpan w:val="2"/>
            <w:tcBorders>
              <w:top w:val="nil"/>
            </w:tcBorders>
          </w:tcPr>
          <w:p w:rsidR="002A0515" w:rsidRPr="00D97E28" w:rsidRDefault="002A0515" w:rsidP="00A54BE4">
            <w:pPr>
              <w:spacing w:before="40" w:after="40"/>
              <w:jc w:val="both"/>
              <w:rPr>
                <w:noProof/>
                <w:sz w:val="17"/>
                <w:lang w:eastAsia="en-GB"/>
              </w:rPr>
            </w:pPr>
            <w:r w:rsidRPr="00D97E28">
              <w:rPr>
                <w:sz w:val="22"/>
              </w:rPr>
              <w:t>Template LR1: Summary comparison of accounting assets against leverage ratio (“LR”) exposure measure</w:t>
            </w:r>
          </w:p>
        </w:tc>
      </w:tr>
      <w:tr w:rsidR="002A0515" w:rsidRPr="00D97E28" w:rsidTr="00A54BE4">
        <w:tc>
          <w:tcPr>
            <w:tcW w:w="2008" w:type="dxa"/>
          </w:tcPr>
          <w:p w:rsidR="002A0515" w:rsidRPr="00D97E28" w:rsidRDefault="002A0515" w:rsidP="00A54BE4">
            <w:pPr>
              <w:spacing w:before="40" w:after="40"/>
              <w:rPr>
                <w:noProof/>
                <w:sz w:val="17"/>
                <w:lang w:eastAsia="en-GB"/>
              </w:rPr>
            </w:pPr>
            <w:r w:rsidRPr="00D97E28">
              <w:rPr>
                <w:b/>
                <w:sz w:val="17"/>
                <w:lang w:eastAsia="en-GB"/>
              </w:rPr>
              <w:t>Purpose:</w:t>
            </w:r>
            <w:r w:rsidRPr="00D97E28">
              <w:rPr>
                <w:sz w:val="17"/>
                <w:lang w:eastAsia="en-GB"/>
              </w:rPr>
              <w:t xml:space="preserve"> </w:t>
            </w:r>
          </w:p>
        </w:tc>
        <w:tc>
          <w:tcPr>
            <w:tcW w:w="7234" w:type="dxa"/>
          </w:tcPr>
          <w:p w:rsidR="002A0515" w:rsidRPr="00D97E28" w:rsidRDefault="002A0515" w:rsidP="00A54BE4">
            <w:pPr>
              <w:spacing w:before="40" w:after="40"/>
              <w:jc w:val="both"/>
              <w:rPr>
                <w:sz w:val="17"/>
                <w:szCs w:val="17"/>
              </w:rPr>
            </w:pPr>
            <w:r w:rsidRPr="00D97E28">
              <w:rPr>
                <w:rFonts w:eastAsiaTheme="minorEastAsia"/>
                <w:sz w:val="17"/>
                <w:lang w:eastAsia="en-GB"/>
              </w:rPr>
              <w:t>To r</w:t>
            </w:r>
            <w:r w:rsidRPr="00D97E28">
              <w:rPr>
                <w:sz w:val="17"/>
                <w:szCs w:val="17"/>
              </w:rPr>
              <w:t>econcile the total assets in the published financial statements (if any) to the LR exposure measure.</w:t>
            </w:r>
          </w:p>
        </w:tc>
      </w:tr>
      <w:tr w:rsidR="002A0515" w:rsidRPr="00D97E28" w:rsidTr="00A54BE4">
        <w:tc>
          <w:tcPr>
            <w:tcW w:w="2008" w:type="dxa"/>
          </w:tcPr>
          <w:p w:rsidR="002A0515" w:rsidRPr="00D97E28" w:rsidRDefault="002A0515" w:rsidP="00A54BE4">
            <w:pPr>
              <w:spacing w:before="40" w:after="40"/>
              <w:rPr>
                <w:b/>
                <w:sz w:val="17"/>
                <w:lang w:eastAsia="en-GB"/>
              </w:rPr>
            </w:pPr>
            <w:r w:rsidRPr="00D97E28">
              <w:rPr>
                <w:b/>
                <w:sz w:val="17"/>
                <w:lang w:eastAsia="en-GB"/>
              </w:rPr>
              <w:t>Scope of application:</w:t>
            </w:r>
          </w:p>
        </w:tc>
        <w:tc>
          <w:tcPr>
            <w:tcW w:w="7234" w:type="dxa"/>
          </w:tcPr>
          <w:p w:rsidR="002A0515" w:rsidRPr="00D97E28" w:rsidRDefault="002A0515" w:rsidP="00A54BE4">
            <w:pPr>
              <w:spacing w:before="40" w:after="40"/>
              <w:jc w:val="both"/>
              <w:rPr>
                <w:sz w:val="17"/>
                <w:szCs w:val="17"/>
              </w:rPr>
            </w:pPr>
            <w:r w:rsidRPr="00D97E28">
              <w:rPr>
                <w:rFonts w:eastAsiaTheme="minorEastAsia"/>
                <w:sz w:val="17"/>
                <w:lang w:eastAsia="en-GB"/>
              </w:rPr>
              <w:t>The template is mandatory for all AIs incorporated in Hong Kong</w:t>
            </w:r>
            <w:r w:rsidRPr="00D97E28">
              <w:rPr>
                <w:sz w:val="17"/>
                <w:szCs w:val="17"/>
              </w:rPr>
              <w:t xml:space="preserve">.  The LR framework should follow the same scope of regulatory consolidation as the risk-based capital framework (i.e. solo basis, solo-consolidated basis, and/or consolidated basis as specified by the MA under BCR </w:t>
            </w:r>
            <w:r w:rsidRPr="00D97E28">
              <w:rPr>
                <w:rFonts w:cs="Segoe UI"/>
                <w:sz w:val="17"/>
                <w:szCs w:val="17"/>
              </w:rPr>
              <w:t>§</w:t>
            </w:r>
            <w:r w:rsidRPr="00D97E28">
              <w:rPr>
                <w:sz w:val="17"/>
                <w:szCs w:val="17"/>
              </w:rPr>
              <w:t>3C).</w:t>
            </w:r>
          </w:p>
        </w:tc>
      </w:tr>
      <w:tr w:rsidR="002A0515" w:rsidRPr="00D97E28" w:rsidTr="00A54BE4">
        <w:tc>
          <w:tcPr>
            <w:tcW w:w="2008" w:type="dxa"/>
          </w:tcPr>
          <w:p w:rsidR="002A0515" w:rsidRPr="00D97E28" w:rsidRDefault="002A0515" w:rsidP="00A54BE4">
            <w:pPr>
              <w:spacing w:before="40" w:after="40"/>
              <w:rPr>
                <w:b/>
                <w:sz w:val="17"/>
                <w:lang w:eastAsia="en-GB"/>
              </w:rPr>
            </w:pPr>
            <w:r w:rsidRPr="00D97E28">
              <w:rPr>
                <w:b/>
                <w:sz w:val="17"/>
                <w:lang w:eastAsia="en-GB"/>
              </w:rPr>
              <w:t>Content:</w:t>
            </w:r>
          </w:p>
        </w:tc>
        <w:tc>
          <w:tcPr>
            <w:tcW w:w="7234" w:type="dxa"/>
          </w:tcPr>
          <w:p w:rsidR="002A0515" w:rsidRPr="00D97E28" w:rsidRDefault="002A0515" w:rsidP="00A54BE4">
            <w:pPr>
              <w:spacing w:before="40" w:after="40"/>
              <w:jc w:val="both"/>
              <w:rPr>
                <w:sz w:val="17"/>
                <w:szCs w:val="17"/>
              </w:rPr>
            </w:pPr>
            <w:r w:rsidRPr="00D97E28">
              <w:rPr>
                <w:sz w:val="17"/>
                <w:szCs w:val="17"/>
              </w:rPr>
              <w:t xml:space="preserve">Quantitative information.  Where an AI has a reporting date for disclosure (e.g. </w:t>
            </w:r>
            <w:proofErr w:type="gramStart"/>
            <w:r w:rsidRPr="00D97E28">
              <w:rPr>
                <w:sz w:val="17"/>
                <w:szCs w:val="17"/>
              </w:rPr>
              <w:t>end</w:t>
            </w:r>
            <w:proofErr w:type="gramEnd"/>
            <w:r w:rsidRPr="00D97E28">
              <w:rPr>
                <w:sz w:val="17"/>
                <w:szCs w:val="17"/>
              </w:rPr>
              <w:t>-April, end-October) that does not fall on the same position date for the Return of Leverage Ratio (MA(BS)27)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2A0515" w:rsidRPr="00D97E28" w:rsidTr="00A54BE4">
        <w:tc>
          <w:tcPr>
            <w:tcW w:w="2008" w:type="dxa"/>
          </w:tcPr>
          <w:p w:rsidR="002A0515" w:rsidRPr="00D97E28" w:rsidRDefault="002A0515" w:rsidP="00A54BE4">
            <w:pPr>
              <w:spacing w:before="40" w:after="40"/>
              <w:rPr>
                <w:sz w:val="17"/>
                <w:lang w:eastAsia="en-GB"/>
              </w:rPr>
            </w:pPr>
            <w:r w:rsidRPr="00D97E28">
              <w:rPr>
                <w:b/>
                <w:sz w:val="17"/>
                <w:lang w:eastAsia="en-GB"/>
              </w:rPr>
              <w:t>Frequency:</w:t>
            </w:r>
          </w:p>
        </w:tc>
        <w:tc>
          <w:tcPr>
            <w:tcW w:w="7234" w:type="dxa"/>
          </w:tcPr>
          <w:p w:rsidR="002A0515" w:rsidRPr="00D97E28" w:rsidRDefault="002A0515" w:rsidP="00A54BE4">
            <w:pPr>
              <w:pStyle w:val="TableText"/>
              <w:jc w:val="both"/>
              <w:rPr>
                <w:szCs w:val="17"/>
              </w:rPr>
            </w:pPr>
            <w:r w:rsidRPr="00D97E28">
              <w:rPr>
                <w:szCs w:val="17"/>
              </w:rPr>
              <w:t>Semi-annually.</w:t>
            </w:r>
          </w:p>
        </w:tc>
      </w:tr>
      <w:tr w:rsidR="002A0515" w:rsidRPr="00D97E28" w:rsidTr="00A54BE4">
        <w:tc>
          <w:tcPr>
            <w:tcW w:w="2008" w:type="dxa"/>
          </w:tcPr>
          <w:p w:rsidR="002A0515" w:rsidRPr="00D97E28" w:rsidRDefault="002A0515" w:rsidP="00A54BE4">
            <w:pPr>
              <w:spacing w:before="40" w:after="40"/>
              <w:rPr>
                <w:sz w:val="17"/>
                <w:lang w:eastAsia="en-GB"/>
              </w:rPr>
            </w:pPr>
            <w:r w:rsidRPr="00D97E28">
              <w:rPr>
                <w:b/>
                <w:sz w:val="17"/>
                <w:lang w:eastAsia="en-GB"/>
              </w:rPr>
              <w:t>Format:</w:t>
            </w:r>
          </w:p>
        </w:tc>
        <w:tc>
          <w:tcPr>
            <w:tcW w:w="7234" w:type="dxa"/>
          </w:tcPr>
          <w:p w:rsidR="002A0515" w:rsidRPr="00D97E28" w:rsidRDefault="002A0515" w:rsidP="00A54BE4">
            <w:pPr>
              <w:pStyle w:val="TableText"/>
              <w:jc w:val="both"/>
              <w:rPr>
                <w:lang w:eastAsia="en-GB"/>
              </w:rPr>
            </w:pPr>
            <w:r w:rsidRPr="00D97E28">
              <w:rPr>
                <w:lang w:eastAsia="en-GB"/>
              </w:rPr>
              <w:t>Fixed.</w:t>
            </w:r>
          </w:p>
        </w:tc>
      </w:tr>
      <w:tr w:rsidR="002A0515" w:rsidRPr="00D97E28" w:rsidTr="00A54BE4">
        <w:tc>
          <w:tcPr>
            <w:tcW w:w="2008" w:type="dxa"/>
          </w:tcPr>
          <w:p w:rsidR="002A0515" w:rsidRPr="00D97E28" w:rsidRDefault="002A0515" w:rsidP="00A54BE4">
            <w:pPr>
              <w:spacing w:before="40" w:after="40"/>
              <w:rPr>
                <w:b/>
                <w:sz w:val="17"/>
                <w:lang w:eastAsia="en-GB"/>
              </w:rPr>
            </w:pPr>
            <w:r w:rsidRPr="00D97E28">
              <w:rPr>
                <w:rFonts w:eastAsiaTheme="minorEastAsia"/>
                <w:b/>
                <w:sz w:val="17"/>
                <w:szCs w:val="17"/>
                <w:lang w:eastAsia="en-GB"/>
              </w:rPr>
              <w:t>Accompanying narrative</w:t>
            </w:r>
            <w:r w:rsidRPr="00D97E28">
              <w:rPr>
                <w:rFonts w:eastAsiaTheme="minorEastAsia"/>
                <w:sz w:val="17"/>
                <w:szCs w:val="17"/>
                <w:lang w:eastAsia="en-GB"/>
              </w:rPr>
              <w:t>:</w:t>
            </w:r>
          </w:p>
        </w:tc>
        <w:tc>
          <w:tcPr>
            <w:tcW w:w="7234" w:type="dxa"/>
          </w:tcPr>
          <w:p w:rsidR="002A0515" w:rsidRPr="00D97E28" w:rsidRDefault="002A0515" w:rsidP="00A54BE4">
            <w:pPr>
              <w:pStyle w:val="TableText"/>
              <w:jc w:val="both"/>
              <w:rPr>
                <w:szCs w:val="17"/>
              </w:rPr>
            </w:pPr>
            <w:r w:rsidRPr="00D97E28">
              <w:rPr>
                <w:szCs w:val="17"/>
              </w:rPr>
              <w:t>An AI should disclose and detail the source of material differences between its total balance sheet assets (net of on-balance sheet derivative exposures and securities financing transaction (“SFT”) exposures) as reported in its financial statements and its on-balance sheet exposures as set out in row 1 of Template LR2.</w:t>
            </w:r>
            <w:r w:rsidRPr="00D97E28" w:rsidDel="00652489">
              <w:rPr>
                <w:szCs w:val="17"/>
              </w:rPr>
              <w:t xml:space="preserve"> </w:t>
            </w:r>
          </w:p>
        </w:tc>
      </w:tr>
      <w:tr w:rsidR="002A0515" w:rsidRPr="00D97E28" w:rsidTr="00A54BE4">
        <w:tc>
          <w:tcPr>
            <w:tcW w:w="2008" w:type="dxa"/>
          </w:tcPr>
          <w:p w:rsidR="002A0515" w:rsidRPr="00D97E28" w:rsidRDefault="002A0515" w:rsidP="00A54BE4">
            <w:pPr>
              <w:spacing w:before="40" w:after="40"/>
              <w:rPr>
                <w:rFonts w:eastAsiaTheme="minorEastAsia"/>
                <w:b/>
                <w:sz w:val="17"/>
                <w:szCs w:val="17"/>
                <w:lang w:eastAsia="en-GB"/>
              </w:rPr>
            </w:pPr>
            <w:r w:rsidRPr="00D97E28">
              <w:rPr>
                <w:rFonts w:eastAsiaTheme="minorEastAsia"/>
                <w:b/>
                <w:sz w:val="17"/>
                <w:szCs w:val="17"/>
                <w:lang w:eastAsia="en-GB"/>
              </w:rPr>
              <w:t>Corresponding BDR section:</w:t>
            </w:r>
          </w:p>
        </w:tc>
        <w:tc>
          <w:tcPr>
            <w:tcW w:w="7234" w:type="dxa"/>
          </w:tcPr>
          <w:p w:rsidR="002A0515" w:rsidRPr="00D97E28" w:rsidRDefault="002A0515" w:rsidP="00A54BE4">
            <w:pPr>
              <w:pStyle w:val="TableText"/>
              <w:jc w:val="both"/>
              <w:rPr>
                <w:szCs w:val="17"/>
                <w:lang w:eastAsia="en-GB"/>
              </w:rPr>
            </w:pPr>
            <w:r w:rsidRPr="00D97E28">
              <w:rPr>
                <w:szCs w:val="17"/>
                <w:lang w:eastAsia="en-GB"/>
              </w:rPr>
              <w:t>16FH</w:t>
            </w:r>
          </w:p>
        </w:tc>
      </w:tr>
    </w:tbl>
    <w:p w:rsidR="002A0515" w:rsidRPr="00D97E28" w:rsidRDefault="002A0515" w:rsidP="002A0515">
      <w:pPr>
        <w:spacing w:before="120" w:after="120"/>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7084"/>
        <w:gridCol w:w="1559"/>
      </w:tblGrid>
      <w:tr w:rsidR="002A0515" w:rsidRPr="00D97E28" w:rsidTr="00A54BE4">
        <w:trPr>
          <w:cantSplit/>
          <w:trHeight w:val="249"/>
          <w:tblHeader/>
        </w:trPr>
        <w:tc>
          <w:tcPr>
            <w:tcW w:w="571" w:type="dxa"/>
            <w:tcBorders>
              <w:top w:val="nil"/>
              <w:left w:val="nil"/>
              <w:bottom w:val="single" w:sz="4" w:space="0" w:color="auto"/>
              <w:right w:val="nil"/>
            </w:tcBorders>
          </w:tcPr>
          <w:p w:rsidR="002A0515" w:rsidRPr="00D97E28" w:rsidRDefault="002A0515" w:rsidP="00A54BE4">
            <w:pPr>
              <w:pStyle w:val="TableText"/>
              <w:snapToGrid w:val="0"/>
              <w:rPr>
                <w:lang w:eastAsia="en-GB"/>
              </w:rPr>
            </w:pPr>
          </w:p>
        </w:tc>
        <w:tc>
          <w:tcPr>
            <w:tcW w:w="7084" w:type="dxa"/>
            <w:tcBorders>
              <w:top w:val="nil"/>
              <w:left w:val="nil"/>
              <w:bottom w:val="single" w:sz="4" w:space="0" w:color="auto"/>
              <w:right w:val="single" w:sz="4" w:space="0" w:color="auto"/>
            </w:tcBorders>
            <w:vAlign w:val="center"/>
          </w:tcPr>
          <w:p w:rsidR="002A0515" w:rsidRPr="00D97E28" w:rsidRDefault="002A0515" w:rsidP="00A54BE4">
            <w:pPr>
              <w:pStyle w:val="TableText"/>
              <w:snapToGrid w:val="0"/>
              <w:rPr>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rsidR="002A0515" w:rsidRPr="00D97E28" w:rsidRDefault="002A0515" w:rsidP="00A54BE4">
            <w:pPr>
              <w:pStyle w:val="TableText"/>
              <w:snapToGrid w:val="0"/>
              <w:jc w:val="center"/>
              <w:rPr>
                <w:bCs/>
                <w:szCs w:val="17"/>
                <w:lang w:eastAsia="it-IT"/>
              </w:rPr>
            </w:pPr>
            <w:r w:rsidRPr="00D97E28">
              <w:rPr>
                <w:bCs/>
                <w:szCs w:val="17"/>
                <w:lang w:eastAsia="it-IT"/>
              </w:rPr>
              <w:t>(a)</w:t>
            </w:r>
          </w:p>
        </w:tc>
      </w:tr>
      <w:tr w:rsidR="002A0515" w:rsidRPr="00D97E28" w:rsidTr="00A54BE4">
        <w:trPr>
          <w:cantSplit/>
          <w:tblHeader/>
        </w:trPr>
        <w:tc>
          <w:tcPr>
            <w:tcW w:w="571" w:type="dxa"/>
            <w:tcBorders>
              <w:top w:val="single" w:sz="4" w:space="0" w:color="auto"/>
              <w:left w:val="nil"/>
              <w:bottom w:val="single" w:sz="4" w:space="0" w:color="auto"/>
              <w:right w:val="single" w:sz="4" w:space="0" w:color="auto"/>
            </w:tcBorders>
          </w:tcPr>
          <w:p w:rsidR="002A0515" w:rsidRPr="00D97E28" w:rsidRDefault="002A0515" w:rsidP="00A54BE4">
            <w:pPr>
              <w:pStyle w:val="TableText"/>
              <w:snapToGrid w:val="0"/>
              <w:rPr>
                <w:b/>
                <w:lang w:eastAsia="en-GB"/>
              </w:rPr>
            </w:pPr>
          </w:p>
        </w:tc>
        <w:tc>
          <w:tcPr>
            <w:tcW w:w="7084" w:type="dxa"/>
            <w:tcBorders>
              <w:top w:val="single" w:sz="4" w:space="0" w:color="auto"/>
              <w:left w:val="nil"/>
              <w:bottom w:val="single" w:sz="4" w:space="0" w:color="auto"/>
              <w:right w:val="single" w:sz="4" w:space="0" w:color="auto"/>
            </w:tcBorders>
          </w:tcPr>
          <w:p w:rsidR="002A0515" w:rsidRPr="00D97E28" w:rsidRDefault="002A0515" w:rsidP="00A54BE4">
            <w:pPr>
              <w:pStyle w:val="TableText"/>
              <w:snapToGrid w:val="0"/>
              <w:rPr>
                <w:b/>
                <w:szCs w:val="17"/>
                <w:lang w:val="en-US" w:eastAsia="en-GB"/>
              </w:rPr>
            </w:pPr>
            <w:r w:rsidRPr="00D97E28">
              <w:rPr>
                <w:b/>
                <w:szCs w:val="17"/>
                <w:lang w:val="en-US" w:eastAsia="en-GB"/>
              </w:rPr>
              <w:t>Item</w:t>
            </w:r>
          </w:p>
        </w:tc>
        <w:tc>
          <w:tcPr>
            <w:tcW w:w="1559" w:type="dxa"/>
            <w:tcBorders>
              <w:top w:val="single" w:sz="4" w:space="0" w:color="auto"/>
              <w:left w:val="single" w:sz="4" w:space="0" w:color="auto"/>
              <w:bottom w:val="single" w:sz="4" w:space="0" w:color="auto"/>
              <w:right w:val="single" w:sz="4" w:space="0" w:color="auto"/>
            </w:tcBorders>
          </w:tcPr>
          <w:p w:rsidR="002A0515" w:rsidRPr="00D97E28" w:rsidRDefault="002A0515" w:rsidP="00A54BE4">
            <w:pPr>
              <w:pStyle w:val="TableText"/>
              <w:snapToGrid w:val="0"/>
              <w:jc w:val="center"/>
              <w:rPr>
                <w:b/>
                <w:szCs w:val="17"/>
              </w:rPr>
            </w:pPr>
            <w:r w:rsidRPr="00D97E28">
              <w:rPr>
                <w:b/>
                <w:szCs w:val="17"/>
              </w:rPr>
              <w:t>Value under the LR framework</w:t>
            </w:r>
          </w:p>
          <w:p w:rsidR="002A0515" w:rsidRPr="00D97E28" w:rsidRDefault="002A0515" w:rsidP="00A54BE4">
            <w:pPr>
              <w:pStyle w:val="TableText"/>
              <w:snapToGrid w:val="0"/>
              <w:jc w:val="center"/>
              <w:rPr>
                <w:szCs w:val="17"/>
              </w:rPr>
            </w:pPr>
            <w:r w:rsidRPr="00D97E28">
              <w:rPr>
                <w:szCs w:val="17"/>
              </w:rPr>
              <w:t>(HK$ equivalent)</w:t>
            </w:r>
          </w:p>
        </w:tc>
      </w:tr>
      <w:tr w:rsidR="002A0515" w:rsidRPr="00D97E28" w:rsidTr="00BE3D4E">
        <w:trPr>
          <w:cantSplit/>
        </w:trPr>
        <w:tc>
          <w:tcPr>
            <w:tcW w:w="571" w:type="dxa"/>
            <w:tcBorders>
              <w:top w:val="single" w:sz="4" w:space="0" w:color="auto"/>
              <w:left w:val="nil"/>
              <w:bottom w:val="single" w:sz="4" w:space="0" w:color="D9D9D9" w:themeColor="background1" w:themeShade="D9"/>
              <w:right w:val="single" w:sz="4" w:space="0" w:color="auto"/>
            </w:tcBorders>
            <w:shd w:val="clear" w:color="auto" w:fill="auto"/>
          </w:tcPr>
          <w:p w:rsidR="002A0515" w:rsidRPr="00D97E28" w:rsidRDefault="002A0515" w:rsidP="002A0515">
            <w:pPr>
              <w:pStyle w:val="TableText"/>
              <w:numPr>
                <w:ilvl w:val="0"/>
                <w:numId w:val="88"/>
              </w:numPr>
              <w:snapToGrid w:val="0"/>
              <w:rPr>
                <w:lang w:eastAsia="en-GB"/>
              </w:rPr>
            </w:pPr>
          </w:p>
        </w:tc>
        <w:tc>
          <w:tcPr>
            <w:tcW w:w="7084"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rsidR="002A0515" w:rsidRPr="008D6C05" w:rsidRDefault="002A0515" w:rsidP="008D6C05">
            <w:pPr>
              <w:pStyle w:val="TableText"/>
              <w:snapToGrid w:val="0"/>
              <w:rPr>
                <w:lang w:eastAsia="en-GB"/>
              </w:rPr>
            </w:pPr>
            <w:r w:rsidRPr="00D97E28">
              <w:rPr>
                <w:szCs w:val="17"/>
                <w:lang w:eastAsia="en-GB"/>
              </w:rPr>
              <w:t>Total consolidated assets as per published financial statements</w:t>
            </w:r>
          </w:p>
        </w:tc>
        <w:tc>
          <w:tcPr>
            <w:tcW w:w="1559" w:type="dxa"/>
            <w:tcBorders>
              <w:top w:val="single" w:sz="4" w:space="0" w:color="auto"/>
              <w:left w:val="single" w:sz="4" w:space="0" w:color="auto"/>
              <w:bottom w:val="single" w:sz="4" w:space="0" w:color="D9D9D9" w:themeColor="background1" w:themeShade="D9"/>
              <w:right w:val="single" w:sz="4" w:space="0" w:color="auto"/>
            </w:tcBorders>
            <w:shd w:val="clear" w:color="auto" w:fill="auto"/>
            <w:vAlign w:val="center"/>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A0515" w:rsidRPr="00D97E28" w:rsidRDefault="002A0515" w:rsidP="002A0515">
            <w:pPr>
              <w:pStyle w:val="TableText"/>
              <w:numPr>
                <w:ilvl w:val="0"/>
                <w:numId w:val="88"/>
              </w:numPr>
              <w:snapToGrid w:val="0"/>
              <w:rPr>
                <w:lang w:eastAsia="en-GB"/>
              </w:rPr>
            </w:pP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8D6C05" w:rsidRDefault="002A0515" w:rsidP="008D6C05">
            <w:pPr>
              <w:pStyle w:val="TableText"/>
              <w:snapToGrid w:val="0"/>
              <w:rPr>
                <w:szCs w:val="17"/>
                <w:lang w:eastAsia="en-GB"/>
              </w:rPr>
            </w:pPr>
            <w:r w:rsidRPr="00D97E28">
              <w:rPr>
                <w:szCs w:val="17"/>
                <w:lang w:eastAsia="en-GB"/>
              </w:rPr>
              <w:t>Adjustment for investments in banking, financial, insurance or commercial entities that are consolidated for accounting purposes but outside the scope of regulatory consolidation</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A0515" w:rsidRPr="00D97E28" w:rsidRDefault="002A0515" w:rsidP="00AC6DA4">
            <w:pPr>
              <w:pStyle w:val="TableText"/>
              <w:snapToGrid w:val="0"/>
              <w:rPr>
                <w:lang w:eastAsia="en-GB"/>
              </w:rPr>
            </w:pPr>
            <w:r>
              <w:rPr>
                <w:lang w:eastAsia="en-GB"/>
              </w:rPr>
              <w:t>2a</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8D6C05" w:rsidRDefault="002A0515" w:rsidP="008D6C05">
            <w:pPr>
              <w:pStyle w:val="TableText"/>
              <w:snapToGrid w:val="0"/>
              <w:rPr>
                <w:lang w:eastAsia="en-GB"/>
              </w:rPr>
            </w:pPr>
            <w:r>
              <w:t>Adjustment for securitised exposures that meet the operational requirements for the recognition of risk transference</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A0515" w:rsidRPr="00D97E28" w:rsidRDefault="002A0515" w:rsidP="002A0515">
            <w:pPr>
              <w:pStyle w:val="TableText"/>
              <w:numPr>
                <w:ilvl w:val="0"/>
                <w:numId w:val="88"/>
              </w:numPr>
              <w:snapToGrid w:val="0"/>
              <w:rPr>
                <w:lang w:eastAsia="en-GB"/>
              </w:rPr>
            </w:pP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8D6C05" w:rsidRDefault="002A0515" w:rsidP="008D6C05">
            <w:pPr>
              <w:pStyle w:val="TableText"/>
              <w:snapToGrid w:val="0"/>
              <w:rPr>
                <w:lang w:eastAsia="en-GB"/>
              </w:rPr>
            </w:pPr>
            <w:r w:rsidRPr="00D97E28">
              <w:rPr>
                <w:szCs w:val="17"/>
                <w:lang w:eastAsia="en-GB"/>
              </w:rPr>
              <w:t>Adjustment for fiduciary assets recognised on the balance sheet pursuant to the applicable accounting standard but excluded from the LR exposure measure</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A0515" w:rsidRPr="00D97E28" w:rsidRDefault="002A0515" w:rsidP="00AC6DA4">
            <w:pPr>
              <w:pStyle w:val="TableText"/>
              <w:snapToGrid w:val="0"/>
              <w:rPr>
                <w:lang w:eastAsia="en-GB"/>
              </w:rPr>
            </w:pPr>
            <w:r>
              <w:rPr>
                <w:lang w:eastAsia="en-GB"/>
              </w:rPr>
              <w:t>3a</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8D6C05" w:rsidRDefault="002A0515" w:rsidP="008D6C05">
            <w:pPr>
              <w:pStyle w:val="TableText"/>
              <w:snapToGrid w:val="0"/>
              <w:rPr>
                <w:lang w:eastAsia="en-GB"/>
              </w:rPr>
            </w:pPr>
            <w:r w:rsidRPr="00AC6DA4">
              <w:rPr>
                <w:rFonts w:eastAsia="SimSun" w:cs="Segoe UI"/>
                <w:kern w:val="2"/>
                <w:szCs w:val="17"/>
                <w:lang w:eastAsia="zh-CN"/>
              </w:rPr>
              <w:t>Adjustments for eligible cash pooling transactions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A0515" w:rsidRPr="00D97E28" w:rsidRDefault="002A0515" w:rsidP="002A0515">
            <w:pPr>
              <w:pStyle w:val="TableText"/>
              <w:numPr>
                <w:ilvl w:val="0"/>
                <w:numId w:val="88"/>
              </w:numPr>
              <w:snapToGrid w:val="0"/>
              <w:rPr>
                <w:lang w:eastAsia="en-GB"/>
              </w:rPr>
            </w:pP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r w:rsidRPr="00D97E28">
              <w:rPr>
                <w:szCs w:val="17"/>
                <w:lang w:eastAsia="en-GB"/>
              </w:rPr>
              <w:t>Adjustments for derivative contracts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A0515" w:rsidRPr="00D97E28" w:rsidRDefault="002A0515" w:rsidP="002A0515">
            <w:pPr>
              <w:pStyle w:val="TableText"/>
              <w:numPr>
                <w:ilvl w:val="0"/>
                <w:numId w:val="88"/>
              </w:numPr>
              <w:snapToGrid w:val="0"/>
              <w:rPr>
                <w:lang w:eastAsia="en-GB"/>
              </w:rPr>
            </w:pP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r w:rsidRPr="00D97E28">
              <w:rPr>
                <w:szCs w:val="17"/>
                <w:lang w:eastAsia="en-GB"/>
              </w:rPr>
              <w:t>Adjustment for SFTs (i.e. repos and similar secured lending)</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A0515" w:rsidRPr="00D97E28" w:rsidRDefault="002A0515" w:rsidP="002A0515">
            <w:pPr>
              <w:pStyle w:val="TableText"/>
              <w:numPr>
                <w:ilvl w:val="0"/>
                <w:numId w:val="88"/>
              </w:numPr>
              <w:snapToGrid w:val="0"/>
              <w:rPr>
                <w:lang w:eastAsia="en-GB"/>
              </w:rPr>
            </w:pP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r w:rsidRPr="00D97E28">
              <w:rPr>
                <w:szCs w:val="17"/>
                <w:lang w:eastAsia="en-GB"/>
              </w:rPr>
              <w:t>Adjustment for off-balance sheet (“OBS”) items (i.e. conversion to credit equivalent amounts of OBS exposures)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lang w:eastAsia="en-GB"/>
              </w:rPr>
            </w:pPr>
            <w:r>
              <w:rPr>
                <w:lang w:eastAsia="en-GB"/>
              </w:rPr>
              <w:t>6a</w:t>
            </w: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266F56" w:rsidRDefault="002A0515" w:rsidP="00A54BE4">
            <w:pPr>
              <w:pStyle w:val="TableText"/>
              <w:snapToGrid w:val="0"/>
              <w:rPr>
                <w:szCs w:val="17"/>
                <w:lang w:eastAsia="en-GB"/>
              </w:rPr>
            </w:pPr>
            <w:r w:rsidRPr="00266F56">
              <w:rPr>
                <w:szCs w:val="17"/>
                <w:lang w:eastAsia="en-GB"/>
              </w:rPr>
              <w:t>Adjustments for prudent valuation adjustments and specific and collective provisions that are allowed to be excluded from exposure measure</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rsidR="002A0515" w:rsidRPr="00D97E28" w:rsidRDefault="002A0515" w:rsidP="002A0515">
            <w:pPr>
              <w:pStyle w:val="TableText"/>
              <w:numPr>
                <w:ilvl w:val="0"/>
                <w:numId w:val="88"/>
              </w:numPr>
              <w:snapToGrid w:val="0"/>
              <w:rPr>
                <w:lang w:eastAsia="en-GB"/>
              </w:rPr>
            </w:pPr>
          </w:p>
        </w:tc>
        <w:tc>
          <w:tcPr>
            <w:tcW w:w="7084"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r w:rsidRPr="00D97E28">
              <w:rPr>
                <w:szCs w:val="17"/>
                <w:lang w:eastAsia="en-GB"/>
              </w:rPr>
              <w:t>Other adjustments</w:t>
            </w:r>
          </w:p>
        </w:tc>
        <w:tc>
          <w:tcPr>
            <w:tcW w:w="1559"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rsidR="002A0515" w:rsidRPr="00D97E28" w:rsidRDefault="002A0515" w:rsidP="00A54BE4">
            <w:pPr>
              <w:pStyle w:val="TableText"/>
              <w:snapToGrid w:val="0"/>
              <w:rPr>
                <w:szCs w:val="17"/>
                <w:lang w:eastAsia="en-GB"/>
              </w:rPr>
            </w:pPr>
          </w:p>
        </w:tc>
      </w:tr>
      <w:tr w:rsidR="002A0515" w:rsidRPr="00D97E28" w:rsidTr="00A54BE4">
        <w:trPr>
          <w:cantSplit/>
        </w:trPr>
        <w:tc>
          <w:tcPr>
            <w:tcW w:w="571" w:type="dxa"/>
            <w:tcBorders>
              <w:top w:val="single" w:sz="4" w:space="0" w:color="D9D9D9" w:themeColor="background1" w:themeShade="D9"/>
              <w:left w:val="nil"/>
              <w:bottom w:val="single" w:sz="4" w:space="0" w:color="auto"/>
              <w:right w:val="single" w:sz="4" w:space="0" w:color="auto"/>
            </w:tcBorders>
            <w:shd w:val="clear" w:color="auto" w:fill="auto"/>
          </w:tcPr>
          <w:p w:rsidR="002A0515" w:rsidRPr="00D97E28" w:rsidRDefault="002A0515" w:rsidP="002A0515">
            <w:pPr>
              <w:pStyle w:val="TableText"/>
              <w:numPr>
                <w:ilvl w:val="0"/>
                <w:numId w:val="88"/>
              </w:numPr>
              <w:snapToGrid w:val="0"/>
              <w:rPr>
                <w:b/>
                <w:lang w:eastAsia="en-GB"/>
              </w:rPr>
            </w:pPr>
          </w:p>
        </w:tc>
        <w:tc>
          <w:tcPr>
            <w:tcW w:w="7084"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2A0515" w:rsidRPr="00D97E28" w:rsidRDefault="002A0515" w:rsidP="00A54BE4">
            <w:pPr>
              <w:pStyle w:val="TableText"/>
              <w:snapToGrid w:val="0"/>
              <w:rPr>
                <w:b/>
                <w:szCs w:val="17"/>
                <w:lang w:eastAsia="en-GB"/>
              </w:rPr>
            </w:pPr>
            <w:r w:rsidRPr="00D97E28">
              <w:rPr>
                <w:b/>
                <w:szCs w:val="17"/>
                <w:lang w:eastAsia="en-GB"/>
              </w:rPr>
              <w:t>Leverage ratio exposure measure</w:t>
            </w:r>
          </w:p>
        </w:tc>
        <w:tc>
          <w:tcPr>
            <w:tcW w:w="1559"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rsidR="002A0515" w:rsidRPr="00D97E28" w:rsidRDefault="002A0515" w:rsidP="00A54BE4">
            <w:pPr>
              <w:pStyle w:val="TableText"/>
              <w:snapToGrid w:val="0"/>
              <w:rPr>
                <w:szCs w:val="17"/>
                <w:lang w:eastAsia="en-GB"/>
              </w:rPr>
            </w:pPr>
          </w:p>
        </w:tc>
      </w:tr>
    </w:tbl>
    <w:p w:rsidR="002A0515" w:rsidRPr="00D97E28" w:rsidRDefault="002A0515" w:rsidP="002A0515">
      <w:pPr>
        <w:spacing w:before="120" w:after="120"/>
        <w:ind w:leftChars="-283" w:left="-566"/>
        <w:rPr>
          <w:sz w:val="22"/>
        </w:rPr>
      </w:pPr>
    </w:p>
    <w:tbl>
      <w:tblPr>
        <w:tblStyle w:val="TableGrid"/>
        <w:tblW w:w="8975" w:type="dxa"/>
        <w:tblInd w:w="-459" w:type="dxa"/>
        <w:tblLook w:val="04A0" w:firstRow="1" w:lastRow="0" w:firstColumn="1" w:lastColumn="0" w:noHBand="0" w:noVBand="1"/>
      </w:tblPr>
      <w:tblGrid>
        <w:gridCol w:w="573"/>
        <w:gridCol w:w="8402"/>
      </w:tblGrid>
      <w:tr w:rsidR="002A0515" w:rsidRPr="00D97E28" w:rsidTr="00A54BE4">
        <w:trPr>
          <w:tblHeader/>
        </w:trPr>
        <w:tc>
          <w:tcPr>
            <w:tcW w:w="8975" w:type="dxa"/>
            <w:gridSpan w:val="2"/>
            <w:shd w:val="clear" w:color="auto" w:fill="BFBFBF" w:themeFill="background1" w:themeFillShade="BF"/>
          </w:tcPr>
          <w:p w:rsidR="002A0515" w:rsidRPr="00D97E28" w:rsidRDefault="002A0515" w:rsidP="00A54BE4">
            <w:pPr>
              <w:spacing w:before="40" w:after="40"/>
              <w:jc w:val="both"/>
              <w:rPr>
                <w:rFonts w:eastAsiaTheme="minorEastAsia"/>
                <w:b/>
                <w:sz w:val="17"/>
                <w:szCs w:val="17"/>
                <w:lang w:eastAsia="en-GB"/>
              </w:rPr>
            </w:pPr>
            <w:r w:rsidRPr="00D97E28">
              <w:rPr>
                <w:rFonts w:eastAsiaTheme="minorEastAsia"/>
                <w:b/>
                <w:sz w:val="17"/>
                <w:szCs w:val="17"/>
                <w:lang w:eastAsia="en-GB"/>
              </w:rPr>
              <w:t>Explanatory Note</w:t>
            </w:r>
          </w:p>
        </w:tc>
      </w:tr>
      <w:tr w:rsidR="002A0515" w:rsidRPr="00D97E28" w:rsidTr="00A54BE4">
        <w:trPr>
          <w:trHeight w:val="373"/>
        </w:trPr>
        <w:tc>
          <w:tcPr>
            <w:tcW w:w="8975" w:type="dxa"/>
            <w:gridSpan w:val="2"/>
            <w:shd w:val="clear" w:color="auto" w:fill="F2F2F2" w:themeFill="background1" w:themeFillShade="F2"/>
          </w:tcPr>
          <w:p w:rsidR="002A0515" w:rsidRPr="00D97E28" w:rsidRDefault="002A0515" w:rsidP="00A54BE4">
            <w:pPr>
              <w:pStyle w:val="TableNote"/>
              <w:spacing w:before="40" w:after="40"/>
              <w:rPr>
                <w:i/>
                <w:sz w:val="17"/>
                <w:szCs w:val="17"/>
              </w:rPr>
            </w:pPr>
            <w:r w:rsidRPr="00D97E28">
              <w:rPr>
                <w:rFonts w:eastAsiaTheme="minorEastAsia"/>
                <w:b/>
                <w:sz w:val="17"/>
                <w:szCs w:val="17"/>
                <w:lang w:eastAsia="en-GB"/>
              </w:rPr>
              <w:t>Rows</w:t>
            </w:r>
          </w:p>
        </w:tc>
      </w:tr>
      <w:tr w:rsidR="002A0515" w:rsidRPr="00D97E28" w:rsidTr="00AC6DA4">
        <w:trPr>
          <w:trHeight w:val="373"/>
        </w:trPr>
        <w:tc>
          <w:tcPr>
            <w:tcW w:w="573" w:type="dxa"/>
          </w:tcPr>
          <w:p w:rsidR="002A0515" w:rsidRPr="00D97E28" w:rsidRDefault="002A0515" w:rsidP="002A0515">
            <w:pPr>
              <w:pStyle w:val="ListParagraph"/>
              <w:keepLines/>
              <w:widowControl w:val="0"/>
              <w:numPr>
                <w:ilvl w:val="0"/>
                <w:numId w:val="89"/>
              </w:numPr>
              <w:tabs>
                <w:tab w:val="left" w:pos="150"/>
                <w:tab w:val="left" w:pos="397"/>
                <w:tab w:val="left" w:pos="794"/>
                <w:tab w:val="left" w:pos="1191"/>
              </w:tabs>
              <w:spacing w:before="40" w:after="40"/>
              <w:ind w:leftChars="0"/>
              <w:contextualSpacing/>
              <w:rPr>
                <w:rFonts w:cs="Segoe UI"/>
                <w:sz w:val="17"/>
                <w:szCs w:val="17"/>
                <w:lang w:eastAsia="en-GB"/>
              </w:rPr>
            </w:pP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sz w:val="17"/>
                <w:szCs w:val="17"/>
              </w:rPr>
              <w:t>The AI’s total consolidated assets as per published financial statements.</w:t>
            </w:r>
          </w:p>
        </w:tc>
      </w:tr>
      <w:tr w:rsidR="002A0515" w:rsidRPr="00D97E28" w:rsidTr="00AC6DA4">
        <w:trPr>
          <w:trHeight w:val="373"/>
        </w:trPr>
        <w:tc>
          <w:tcPr>
            <w:tcW w:w="573" w:type="dxa"/>
          </w:tcPr>
          <w:p w:rsidR="002A0515" w:rsidRPr="00D97E28" w:rsidRDefault="002A0515" w:rsidP="002A0515">
            <w:pPr>
              <w:pStyle w:val="ListParagraph"/>
              <w:keepLines/>
              <w:widowControl w:val="0"/>
              <w:numPr>
                <w:ilvl w:val="0"/>
                <w:numId w:val="89"/>
              </w:numPr>
              <w:tabs>
                <w:tab w:val="left" w:pos="150"/>
                <w:tab w:val="left" w:pos="397"/>
                <w:tab w:val="left" w:pos="794"/>
                <w:tab w:val="left" w:pos="1191"/>
              </w:tabs>
              <w:spacing w:before="40" w:after="40"/>
              <w:ind w:leftChars="0"/>
              <w:contextualSpacing/>
              <w:rPr>
                <w:rFonts w:cs="Segoe UI"/>
                <w:sz w:val="17"/>
                <w:szCs w:val="17"/>
                <w:lang w:eastAsia="en-GB"/>
              </w:rPr>
            </w:pP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sz w:val="17"/>
                <w:szCs w:val="17"/>
              </w:rPr>
              <w:t>Adjustments in relation to the AI’s investments in financial sector entities or commercial entities as defined in BCR §35 that are consolidated for accounting purposes, but outside the scope of regulatory consolidation.  As these adjustments reduce the total leverage ratio exposure measure, they should be reported as a negative amount.</w:t>
            </w:r>
          </w:p>
        </w:tc>
      </w:tr>
      <w:tr w:rsidR="002A0515" w:rsidRPr="00D97E28" w:rsidTr="00AC6DA4">
        <w:trPr>
          <w:trHeight w:val="373"/>
        </w:trPr>
        <w:tc>
          <w:tcPr>
            <w:tcW w:w="573" w:type="dxa"/>
          </w:tcPr>
          <w:p w:rsidR="002A0515" w:rsidRPr="00D97E28" w:rsidRDefault="002A0515" w:rsidP="00AC6DA4">
            <w:pPr>
              <w:pStyle w:val="ListParagraph"/>
              <w:keepLines/>
              <w:tabs>
                <w:tab w:val="left" w:pos="150"/>
                <w:tab w:val="left" w:pos="397"/>
                <w:tab w:val="left" w:pos="794"/>
                <w:tab w:val="left" w:pos="1191"/>
              </w:tabs>
              <w:spacing w:before="40" w:after="40"/>
              <w:ind w:leftChars="0" w:left="0"/>
              <w:rPr>
                <w:rFonts w:cs="Segoe UI"/>
                <w:sz w:val="17"/>
                <w:szCs w:val="17"/>
                <w:lang w:eastAsia="en-GB"/>
              </w:rPr>
            </w:pPr>
            <w:r>
              <w:rPr>
                <w:rFonts w:cs="Segoe UI"/>
                <w:sz w:val="17"/>
                <w:szCs w:val="17"/>
                <w:lang w:eastAsia="en-GB"/>
              </w:rPr>
              <w:t>2a</w:t>
            </w: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rFonts w:cs="Segoe UI"/>
                <w:sz w:val="17"/>
                <w:szCs w:val="17"/>
              </w:rPr>
              <w:t xml:space="preserve">Adjustment related to </w:t>
            </w:r>
            <w:proofErr w:type="spellStart"/>
            <w:r w:rsidRPr="00D97E28">
              <w:rPr>
                <w:rFonts w:cs="Segoe UI"/>
                <w:sz w:val="17"/>
                <w:szCs w:val="17"/>
              </w:rPr>
              <w:t>securitised</w:t>
            </w:r>
            <w:proofErr w:type="spellEnd"/>
            <w:r w:rsidRPr="00D97E28">
              <w:rPr>
                <w:rFonts w:cs="Segoe UI"/>
                <w:sz w:val="17"/>
                <w:szCs w:val="17"/>
              </w:rPr>
              <w:t xml:space="preserve"> exposures that meet the operational requirements for the recognition of risk transference.  As the adjustment reduce</w:t>
            </w:r>
            <w:r>
              <w:rPr>
                <w:rFonts w:cs="Segoe UI"/>
                <w:sz w:val="17"/>
                <w:szCs w:val="17"/>
              </w:rPr>
              <w:t>s</w:t>
            </w:r>
            <w:r w:rsidRPr="00D97E28">
              <w:rPr>
                <w:rFonts w:cs="Segoe UI"/>
                <w:sz w:val="17"/>
                <w:szCs w:val="17"/>
              </w:rPr>
              <w:t xml:space="preserve"> the total leverage ratio exposure measure, </w:t>
            </w:r>
            <w:r>
              <w:rPr>
                <w:rFonts w:cs="Segoe UI"/>
                <w:sz w:val="17"/>
                <w:szCs w:val="17"/>
              </w:rPr>
              <w:t>i</w:t>
            </w:r>
            <w:r w:rsidRPr="00D97E28">
              <w:rPr>
                <w:rFonts w:cs="Segoe UI"/>
                <w:sz w:val="17"/>
                <w:szCs w:val="17"/>
              </w:rPr>
              <w:t>t shall be reported as a negative amount.</w:t>
            </w:r>
          </w:p>
        </w:tc>
      </w:tr>
      <w:tr w:rsidR="002A0515" w:rsidRPr="00D97E28" w:rsidTr="00AC6DA4">
        <w:trPr>
          <w:trHeight w:val="373"/>
        </w:trPr>
        <w:tc>
          <w:tcPr>
            <w:tcW w:w="573" w:type="dxa"/>
          </w:tcPr>
          <w:p w:rsidR="002A0515" w:rsidRPr="00D97E28" w:rsidRDefault="002A0515" w:rsidP="002A0515">
            <w:pPr>
              <w:pStyle w:val="ListParagraph"/>
              <w:keepLines/>
              <w:widowControl w:val="0"/>
              <w:numPr>
                <w:ilvl w:val="0"/>
                <w:numId w:val="89"/>
              </w:numPr>
              <w:tabs>
                <w:tab w:val="left" w:pos="150"/>
                <w:tab w:val="left" w:pos="397"/>
                <w:tab w:val="left" w:pos="794"/>
                <w:tab w:val="left" w:pos="1191"/>
              </w:tabs>
              <w:spacing w:before="40" w:after="40"/>
              <w:ind w:leftChars="0"/>
              <w:contextualSpacing/>
              <w:rPr>
                <w:rFonts w:cs="Segoe UI"/>
                <w:sz w:val="17"/>
                <w:szCs w:val="17"/>
                <w:lang w:eastAsia="en-GB"/>
              </w:rPr>
            </w:pP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sz w:val="17"/>
                <w:szCs w:val="17"/>
              </w:rPr>
              <w:t xml:space="preserve">Adjustments related to any fiduciary assets </w:t>
            </w:r>
            <w:proofErr w:type="spellStart"/>
            <w:r w:rsidRPr="00D97E28">
              <w:rPr>
                <w:sz w:val="17"/>
                <w:szCs w:val="17"/>
              </w:rPr>
              <w:t>recognised</w:t>
            </w:r>
            <w:proofErr w:type="spellEnd"/>
            <w:r w:rsidRPr="00D97E28">
              <w:rPr>
                <w:sz w:val="17"/>
                <w:szCs w:val="17"/>
              </w:rPr>
              <w:t xml:space="preserve"> on the balance sheet pursuant to the AI’s applicable accounting framework but excluded from the LR exposure measure, provided that the assets meet the IAS 39 / IFRS 9 (or HKAS 39 / HKFRS 9) criteria for </w:t>
            </w:r>
            <w:proofErr w:type="spellStart"/>
            <w:r w:rsidRPr="00D97E28">
              <w:rPr>
                <w:sz w:val="17"/>
                <w:szCs w:val="17"/>
              </w:rPr>
              <w:t>derecognition</w:t>
            </w:r>
            <w:proofErr w:type="spellEnd"/>
            <w:r w:rsidRPr="00D97E28">
              <w:rPr>
                <w:sz w:val="17"/>
                <w:szCs w:val="17"/>
              </w:rPr>
              <w:t xml:space="preserve"> and, where applicable, IFRS 10 (or HKFRS 10) for deconsolidation.  As these adjustments reduce the total leverage ratio exposure measure, they should be reported as a negative amount.</w:t>
            </w:r>
          </w:p>
        </w:tc>
      </w:tr>
      <w:tr w:rsidR="002A0515" w:rsidRPr="00D97E28" w:rsidTr="00AC6DA4">
        <w:trPr>
          <w:trHeight w:val="373"/>
        </w:trPr>
        <w:tc>
          <w:tcPr>
            <w:tcW w:w="573" w:type="dxa"/>
          </w:tcPr>
          <w:p w:rsidR="002A0515" w:rsidRPr="00AC6DA4" w:rsidRDefault="002A0515" w:rsidP="00AC6DA4">
            <w:pPr>
              <w:keepLines/>
              <w:widowControl w:val="0"/>
              <w:tabs>
                <w:tab w:val="left" w:pos="150"/>
                <w:tab w:val="left" w:pos="397"/>
                <w:tab w:val="left" w:pos="794"/>
                <w:tab w:val="left" w:pos="1191"/>
              </w:tabs>
              <w:spacing w:before="40" w:after="40"/>
              <w:rPr>
                <w:rFonts w:cs="Segoe UI"/>
                <w:kern w:val="0"/>
                <w:sz w:val="17"/>
                <w:szCs w:val="17"/>
                <w:lang w:val="en-GB" w:eastAsia="en-GB"/>
              </w:rPr>
            </w:pPr>
            <w:r>
              <w:rPr>
                <w:rFonts w:cs="Segoe UI"/>
                <w:sz w:val="17"/>
                <w:szCs w:val="17"/>
                <w:lang w:eastAsia="en-GB"/>
              </w:rPr>
              <w:t>3a</w:t>
            </w: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rFonts w:cs="Segoe UI"/>
                <w:sz w:val="17"/>
                <w:szCs w:val="17"/>
              </w:rPr>
              <w:t xml:space="preserve">Adjustments for eligible cash-pooling transactions. </w:t>
            </w:r>
            <w:r>
              <w:rPr>
                <w:rFonts w:cs="Segoe UI"/>
                <w:sz w:val="17"/>
                <w:szCs w:val="17"/>
              </w:rPr>
              <w:t xml:space="preserve"> An</w:t>
            </w:r>
            <w:r w:rsidRPr="00D97E28">
              <w:rPr>
                <w:rFonts w:cs="Segoe UI"/>
                <w:sz w:val="17"/>
                <w:szCs w:val="17"/>
              </w:rPr>
              <w:t xml:space="preserve"> adjustment is</w:t>
            </w:r>
            <w:r>
              <w:rPr>
                <w:rFonts w:cs="Segoe UI"/>
                <w:sz w:val="17"/>
                <w:szCs w:val="17"/>
              </w:rPr>
              <w:t xml:space="preserve"> </w:t>
            </w:r>
            <w:r w:rsidRPr="00164A51">
              <w:rPr>
                <w:rFonts w:cs="Segoe UI"/>
                <w:sz w:val="17"/>
                <w:szCs w:val="17"/>
              </w:rPr>
              <w:t>for</w:t>
            </w:r>
            <w:r w:rsidRPr="00D97E28">
              <w:rPr>
                <w:rFonts w:cs="Segoe UI"/>
                <w:sz w:val="17"/>
                <w:szCs w:val="17"/>
              </w:rPr>
              <w:t xml:space="preserve"> the difference between the accounting value of cash-pooling transactions and the treatments specified in </w:t>
            </w:r>
            <w:r>
              <w:rPr>
                <w:rFonts w:cs="Segoe UI"/>
                <w:sz w:val="17"/>
                <w:szCs w:val="17"/>
              </w:rPr>
              <w:t>Consolidated Basel Framework (2022) LEV30.12</w:t>
            </w:r>
            <w:r w:rsidRPr="00D97E28">
              <w:rPr>
                <w:rFonts w:cs="Segoe UI"/>
                <w:sz w:val="17"/>
                <w:szCs w:val="17"/>
              </w:rPr>
              <w:t xml:space="preserve">.  If this adjustment leads to an increase in exposure, it shall be reported as a positive amount. </w:t>
            </w:r>
            <w:r>
              <w:rPr>
                <w:rFonts w:cs="Segoe UI"/>
                <w:sz w:val="17"/>
                <w:szCs w:val="17"/>
              </w:rPr>
              <w:t xml:space="preserve"> </w:t>
            </w:r>
            <w:r w:rsidRPr="00D97E28">
              <w:rPr>
                <w:rFonts w:cs="Segoe UI"/>
                <w:sz w:val="17"/>
                <w:szCs w:val="17"/>
              </w:rPr>
              <w:t>If this adjustment leads to a decrease in exposure, it shall be reported as a negative amount.</w:t>
            </w:r>
          </w:p>
        </w:tc>
      </w:tr>
      <w:tr w:rsidR="002A0515" w:rsidRPr="00D97E28" w:rsidTr="00AC6DA4">
        <w:trPr>
          <w:trHeight w:val="373"/>
        </w:trPr>
        <w:tc>
          <w:tcPr>
            <w:tcW w:w="573" w:type="dxa"/>
          </w:tcPr>
          <w:p w:rsidR="002A0515" w:rsidRPr="00D97E28" w:rsidRDefault="002A0515" w:rsidP="002A0515">
            <w:pPr>
              <w:pStyle w:val="ListParagraph"/>
              <w:keepLines/>
              <w:widowControl w:val="0"/>
              <w:numPr>
                <w:ilvl w:val="0"/>
                <w:numId w:val="89"/>
              </w:numPr>
              <w:tabs>
                <w:tab w:val="left" w:pos="150"/>
                <w:tab w:val="left" w:pos="397"/>
                <w:tab w:val="left" w:pos="794"/>
                <w:tab w:val="left" w:pos="1191"/>
              </w:tabs>
              <w:spacing w:before="40" w:after="40"/>
              <w:ind w:leftChars="0"/>
              <w:contextualSpacing/>
              <w:rPr>
                <w:rFonts w:cs="Segoe UI"/>
                <w:sz w:val="17"/>
                <w:szCs w:val="17"/>
                <w:lang w:eastAsia="en-GB"/>
              </w:rPr>
            </w:pP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sz w:val="17"/>
                <w:szCs w:val="17"/>
              </w:rPr>
              <w:t>Any adjustments in relation to derivative contracts should be in line with the LR calculation methodology under Part 1C of the BCR.  If this adjustment leads to an increase in exposure, an AI should disclose this as a positive amount.  If this adjustment leads to a decrease in exposure, the AI should disclose this as a negative amount.</w:t>
            </w:r>
          </w:p>
        </w:tc>
      </w:tr>
      <w:tr w:rsidR="002A0515" w:rsidRPr="00D97E28" w:rsidTr="00AC6DA4">
        <w:trPr>
          <w:trHeight w:val="373"/>
        </w:trPr>
        <w:tc>
          <w:tcPr>
            <w:tcW w:w="573" w:type="dxa"/>
          </w:tcPr>
          <w:p w:rsidR="002A0515" w:rsidRPr="00D97E28" w:rsidRDefault="002A0515" w:rsidP="002A0515">
            <w:pPr>
              <w:pStyle w:val="ListParagraph"/>
              <w:keepLines/>
              <w:widowControl w:val="0"/>
              <w:numPr>
                <w:ilvl w:val="0"/>
                <w:numId w:val="89"/>
              </w:numPr>
              <w:tabs>
                <w:tab w:val="left" w:pos="150"/>
                <w:tab w:val="left" w:pos="397"/>
                <w:tab w:val="left" w:pos="794"/>
                <w:tab w:val="left" w:pos="1191"/>
              </w:tabs>
              <w:spacing w:before="40" w:after="40"/>
              <w:ind w:leftChars="0"/>
              <w:contextualSpacing/>
              <w:rPr>
                <w:rFonts w:cs="Segoe UI"/>
                <w:sz w:val="17"/>
                <w:szCs w:val="17"/>
                <w:lang w:eastAsia="en-GB"/>
              </w:rPr>
            </w:pP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sz w:val="17"/>
                <w:szCs w:val="17"/>
              </w:rPr>
              <w:t xml:space="preserve">Any adjustments in relation to SFTs (i.e. repos and other similar secured lending) should be in line with the LR calculation methodology under Part 1C of the BCR. </w:t>
            </w:r>
            <w:r w:rsidRPr="00D97E28">
              <w:t xml:space="preserve"> </w:t>
            </w:r>
            <w:r w:rsidRPr="00D97E28">
              <w:rPr>
                <w:sz w:val="17"/>
                <w:szCs w:val="17"/>
              </w:rPr>
              <w:t>If this adjustment leads to an increase in the exposure, an AI should disclose this as a positive amount.  If this adjustment leads to a decrease in exposure, the AI should disclose this as a negative amount.</w:t>
            </w:r>
          </w:p>
        </w:tc>
      </w:tr>
      <w:tr w:rsidR="002A0515" w:rsidRPr="00D97E28" w:rsidTr="00AC6DA4">
        <w:trPr>
          <w:trHeight w:val="373"/>
        </w:trPr>
        <w:tc>
          <w:tcPr>
            <w:tcW w:w="573" w:type="dxa"/>
          </w:tcPr>
          <w:p w:rsidR="002A0515" w:rsidRPr="00D97E28" w:rsidRDefault="002A0515" w:rsidP="002A0515">
            <w:pPr>
              <w:pStyle w:val="ListParagraph"/>
              <w:keepLines/>
              <w:widowControl w:val="0"/>
              <w:numPr>
                <w:ilvl w:val="0"/>
                <w:numId w:val="89"/>
              </w:numPr>
              <w:tabs>
                <w:tab w:val="left" w:pos="150"/>
                <w:tab w:val="left" w:pos="397"/>
                <w:tab w:val="left" w:pos="794"/>
                <w:tab w:val="left" w:pos="1191"/>
              </w:tabs>
              <w:spacing w:before="40" w:after="40"/>
              <w:ind w:leftChars="0"/>
              <w:contextualSpacing/>
              <w:rPr>
                <w:rFonts w:cs="Segoe UI"/>
                <w:sz w:val="17"/>
                <w:szCs w:val="17"/>
                <w:lang w:eastAsia="en-GB"/>
              </w:rPr>
            </w:pP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sz w:val="17"/>
                <w:szCs w:val="17"/>
              </w:rPr>
              <w:t>Aggregates of the credit equivalent amount of OBS exposures, as converted under the STC approach under the BCR, subject to a floor of 10%, through the use of credit conversion factors (“CCFs”).  For details of the OBS exposures and their applicable CCFs, please refer to the LR calculation methodology under Part 1C of the BCR.</w:t>
            </w:r>
          </w:p>
        </w:tc>
      </w:tr>
      <w:tr w:rsidR="002A0515" w:rsidRPr="00D97E28" w:rsidTr="00AC6DA4">
        <w:trPr>
          <w:trHeight w:val="373"/>
        </w:trPr>
        <w:tc>
          <w:tcPr>
            <w:tcW w:w="573" w:type="dxa"/>
          </w:tcPr>
          <w:p w:rsidR="002A0515" w:rsidRPr="00D97E28"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6a</w:t>
            </w: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F20338">
              <w:rPr>
                <w:sz w:val="17"/>
                <w:szCs w:val="17"/>
              </w:rPr>
              <w:t>Adjustments for prudent valuation adjustments and specific and collective provisions which have reduced Tier 1 capital.  This adjustment reduces the LR exposure measure by the amount of prudent valuation adjustments and provisions</w:t>
            </w:r>
            <w:r w:rsidRPr="00D97E28">
              <w:rPr>
                <w:sz w:val="17"/>
                <w:szCs w:val="17"/>
              </w:rPr>
              <w:t xml:space="preserve"> that have reduced Tier 1 capital, which should be reported as a negative amount.</w:t>
            </w:r>
          </w:p>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sz w:val="17"/>
                <w:szCs w:val="17"/>
              </w:rPr>
              <w:t>Where specific and collective provisions are set aside against OBS exposures that have an effect to decrease Tier 1 capital, such provision amounts may be deducted from the credit equivalent amount of the exposures and in turn reported in this row.  However, the resulting total credit equivalent amount for OBS exposures cannot be less than zero.</w:t>
            </w:r>
          </w:p>
        </w:tc>
      </w:tr>
      <w:tr w:rsidR="002A0515" w:rsidRPr="00D97E28" w:rsidTr="00AC6DA4">
        <w:trPr>
          <w:trHeight w:val="373"/>
        </w:trPr>
        <w:tc>
          <w:tcPr>
            <w:tcW w:w="573" w:type="dxa"/>
          </w:tcPr>
          <w:p w:rsidR="002A0515" w:rsidRPr="00D97E28" w:rsidRDefault="002A0515" w:rsidP="002A0515">
            <w:pPr>
              <w:pStyle w:val="ListParagraph"/>
              <w:keepLines/>
              <w:widowControl w:val="0"/>
              <w:numPr>
                <w:ilvl w:val="0"/>
                <w:numId w:val="89"/>
              </w:numPr>
              <w:tabs>
                <w:tab w:val="left" w:pos="150"/>
                <w:tab w:val="left" w:pos="397"/>
                <w:tab w:val="left" w:pos="794"/>
                <w:tab w:val="left" w:pos="1191"/>
              </w:tabs>
              <w:spacing w:before="40" w:after="40"/>
              <w:ind w:leftChars="0"/>
              <w:contextualSpacing/>
              <w:rPr>
                <w:rFonts w:cs="Segoe UI"/>
                <w:sz w:val="17"/>
                <w:szCs w:val="17"/>
                <w:lang w:eastAsia="en-GB"/>
              </w:rPr>
            </w:pPr>
          </w:p>
        </w:tc>
        <w:tc>
          <w:tcPr>
            <w:tcW w:w="8402" w:type="dxa"/>
          </w:tcPr>
          <w:p w:rsidR="002A0515" w:rsidRPr="00D97E28"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sz w:val="17"/>
                <w:szCs w:val="17"/>
              </w:rPr>
              <w:t xml:space="preserve">Any other adjustments that are necessary for the reconciliation but not included in rows 1 to </w:t>
            </w:r>
            <w:r w:rsidRPr="002D3030">
              <w:rPr>
                <w:sz w:val="17"/>
                <w:szCs w:val="17"/>
              </w:rPr>
              <w:t>6</w:t>
            </w:r>
            <w:r>
              <w:rPr>
                <w:sz w:val="17"/>
                <w:szCs w:val="17"/>
              </w:rPr>
              <w:t>a</w:t>
            </w:r>
            <w:r w:rsidRPr="00D97E28">
              <w:rPr>
                <w:sz w:val="17"/>
                <w:szCs w:val="17"/>
              </w:rPr>
              <w:t xml:space="preserve"> above.  These may include adjustments in relation to any items that are deducted from Tier 1 capital under the risk-based capital framework in accordance with BCR §38(2), §43 and §47, but are not already excluded from the calculation of the LR exposure measure.  For a note-issuing bank as defined under the Legal Tender Notes Issue Ordinance (Cap. 65), the adjustments should also include any certificates of indebtedness issued under the Exchange Fund Ordinance (Cap. 66) and held by it as cover for legal tender notes issued.</w:t>
            </w:r>
          </w:p>
        </w:tc>
      </w:tr>
      <w:tr w:rsidR="002A0515" w:rsidRPr="003E1934" w:rsidTr="00AC6DA4">
        <w:trPr>
          <w:trHeight w:val="373"/>
        </w:trPr>
        <w:tc>
          <w:tcPr>
            <w:tcW w:w="573" w:type="dxa"/>
          </w:tcPr>
          <w:p w:rsidR="002A0515" w:rsidRPr="00D97E28" w:rsidRDefault="002A0515" w:rsidP="002A0515">
            <w:pPr>
              <w:pStyle w:val="ListParagraph"/>
              <w:keepLines/>
              <w:widowControl w:val="0"/>
              <w:numPr>
                <w:ilvl w:val="0"/>
                <w:numId w:val="89"/>
              </w:numPr>
              <w:tabs>
                <w:tab w:val="left" w:pos="150"/>
                <w:tab w:val="left" w:pos="397"/>
                <w:tab w:val="left" w:pos="794"/>
                <w:tab w:val="left" w:pos="1191"/>
              </w:tabs>
              <w:spacing w:before="40" w:after="40"/>
              <w:ind w:leftChars="0"/>
              <w:contextualSpacing/>
              <w:rPr>
                <w:rFonts w:cs="Segoe UI"/>
                <w:sz w:val="17"/>
                <w:szCs w:val="17"/>
                <w:lang w:eastAsia="en-GB"/>
              </w:rPr>
            </w:pPr>
          </w:p>
        </w:tc>
        <w:tc>
          <w:tcPr>
            <w:tcW w:w="8402" w:type="dxa"/>
          </w:tcPr>
          <w:p w:rsidR="002A0515" w:rsidRPr="003E1934" w:rsidRDefault="002A0515" w:rsidP="00A54BE4">
            <w:pPr>
              <w:keepLines/>
              <w:widowControl w:val="0"/>
              <w:tabs>
                <w:tab w:val="left" w:pos="150"/>
                <w:tab w:val="left" w:pos="397"/>
                <w:tab w:val="left" w:pos="794"/>
                <w:tab w:val="left" w:pos="1191"/>
              </w:tabs>
              <w:spacing w:before="40" w:after="40"/>
              <w:jc w:val="both"/>
              <w:rPr>
                <w:sz w:val="17"/>
                <w:szCs w:val="17"/>
              </w:rPr>
            </w:pPr>
            <w:r w:rsidRPr="00D97E28">
              <w:rPr>
                <w:sz w:val="17"/>
                <w:szCs w:val="17"/>
              </w:rPr>
              <w:t xml:space="preserve">The LR exposure, which should be the sum of rows 1 to </w:t>
            </w:r>
            <w:r w:rsidRPr="00F20338">
              <w:rPr>
                <w:sz w:val="17"/>
                <w:szCs w:val="17"/>
              </w:rPr>
              <w:t>7</w:t>
            </w:r>
            <w:r w:rsidRPr="00D97E28">
              <w:rPr>
                <w:sz w:val="17"/>
                <w:szCs w:val="17"/>
              </w:rPr>
              <w:t xml:space="preserve"> above, should be consistent with the total exposures amount reported in [LR2: 21/a].</w:t>
            </w:r>
            <w:r w:rsidRPr="003E1934">
              <w:rPr>
                <w:sz w:val="17"/>
                <w:szCs w:val="17"/>
              </w:rPr>
              <w:t xml:space="preserve"> </w:t>
            </w:r>
          </w:p>
        </w:tc>
      </w:tr>
    </w:tbl>
    <w:p w:rsidR="002A0515" w:rsidRDefault="002A0515" w:rsidP="002A0515">
      <w:pPr>
        <w:spacing w:before="40" w:after="40"/>
        <w:jc w:val="both"/>
        <w:rPr>
          <w:sz w:val="22"/>
        </w:rPr>
        <w:sectPr w:rsidR="002A0515" w:rsidSect="008D6C0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60"/>
        </w:sectPr>
      </w:pPr>
    </w:p>
    <w:tbl>
      <w:tblPr>
        <w:tblpPr w:leftFromText="180" w:rightFromText="180" w:vertAnchor="text" w:horzAnchor="margin" w:tblpXSpec="center" w:tblpY="137"/>
        <w:tblW w:w="924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A0515" w:rsidRPr="00E30DEC" w:rsidTr="00A54BE4">
        <w:tc>
          <w:tcPr>
            <w:tcW w:w="9242" w:type="dxa"/>
            <w:gridSpan w:val="2"/>
            <w:tcBorders>
              <w:top w:val="nil"/>
            </w:tcBorders>
          </w:tcPr>
          <w:p w:rsidR="002A0515" w:rsidRPr="00E30DEC" w:rsidRDefault="002A0515" w:rsidP="00A54BE4">
            <w:pPr>
              <w:spacing w:before="40" w:after="40"/>
              <w:jc w:val="both"/>
              <w:rPr>
                <w:noProof/>
                <w:sz w:val="17"/>
                <w:lang w:eastAsia="en-GB"/>
              </w:rPr>
            </w:pPr>
            <w:r w:rsidRPr="00E30DEC">
              <w:rPr>
                <w:sz w:val="22"/>
              </w:rPr>
              <w:t>Template LR2: Leverage ratio (“LR”)</w:t>
            </w:r>
          </w:p>
        </w:tc>
      </w:tr>
      <w:tr w:rsidR="002A0515" w:rsidRPr="00E30DEC" w:rsidTr="00A54BE4">
        <w:tc>
          <w:tcPr>
            <w:tcW w:w="2008" w:type="dxa"/>
          </w:tcPr>
          <w:p w:rsidR="002A0515" w:rsidRPr="00E30DEC" w:rsidRDefault="002A0515" w:rsidP="00A54BE4">
            <w:pPr>
              <w:spacing w:before="40" w:after="40"/>
              <w:rPr>
                <w:noProof/>
                <w:sz w:val="17"/>
                <w:lang w:eastAsia="en-GB"/>
              </w:rPr>
            </w:pPr>
            <w:r w:rsidRPr="00E30DEC">
              <w:rPr>
                <w:b/>
                <w:sz w:val="17"/>
                <w:lang w:eastAsia="en-GB"/>
              </w:rPr>
              <w:t>Purpose:</w:t>
            </w:r>
          </w:p>
        </w:tc>
        <w:tc>
          <w:tcPr>
            <w:tcW w:w="7234" w:type="dxa"/>
          </w:tcPr>
          <w:p w:rsidR="002A0515" w:rsidRPr="00E30DEC" w:rsidRDefault="002A0515" w:rsidP="00A54BE4">
            <w:pPr>
              <w:pStyle w:val="TableText"/>
              <w:jc w:val="both"/>
              <w:rPr>
                <w:szCs w:val="17"/>
              </w:rPr>
            </w:pPr>
            <w:r w:rsidRPr="00E30DEC">
              <w:rPr>
                <w:lang w:eastAsia="en-GB"/>
              </w:rPr>
              <w:t>To p</w:t>
            </w:r>
            <w:r w:rsidRPr="00E30DEC">
              <w:rPr>
                <w:szCs w:val="17"/>
              </w:rPr>
              <w:t>rovide a detailed breakdown of the components of the LR denominator.</w:t>
            </w:r>
          </w:p>
        </w:tc>
      </w:tr>
      <w:tr w:rsidR="002A0515" w:rsidRPr="00E30DEC" w:rsidTr="00A54BE4">
        <w:tc>
          <w:tcPr>
            <w:tcW w:w="2008" w:type="dxa"/>
          </w:tcPr>
          <w:p w:rsidR="002A0515" w:rsidRPr="00E30DEC" w:rsidRDefault="002A0515" w:rsidP="00A54BE4">
            <w:pPr>
              <w:spacing w:before="40" w:after="40"/>
              <w:rPr>
                <w:b/>
                <w:sz w:val="17"/>
                <w:lang w:eastAsia="en-GB"/>
              </w:rPr>
            </w:pPr>
            <w:r w:rsidRPr="00E30DEC">
              <w:rPr>
                <w:b/>
                <w:sz w:val="17"/>
                <w:lang w:eastAsia="en-GB"/>
              </w:rPr>
              <w:t>Scope of application:</w:t>
            </w:r>
          </w:p>
        </w:tc>
        <w:tc>
          <w:tcPr>
            <w:tcW w:w="7234" w:type="dxa"/>
          </w:tcPr>
          <w:p w:rsidR="002A0515" w:rsidRPr="00E30DEC" w:rsidRDefault="002A0515" w:rsidP="00A54BE4">
            <w:pPr>
              <w:pStyle w:val="TableText"/>
              <w:jc w:val="both"/>
              <w:rPr>
                <w:rFonts w:eastAsiaTheme="minorEastAsia"/>
                <w:b/>
                <w:lang w:val="en-US" w:eastAsia="en-GB"/>
              </w:rPr>
            </w:pPr>
            <w:r w:rsidRPr="00E30DEC">
              <w:rPr>
                <w:szCs w:val="17"/>
              </w:rPr>
              <w:t xml:space="preserve">The template is mandatory for all AIs incorporated in Hong Kong.  The LR framework should follow the same scope of regulatory consolidation as the risk-based capital framework (i.e. solo basis, solo-consolidated basis, and/or consolidated basis as specified by the MA under BCR </w:t>
            </w:r>
            <w:r w:rsidRPr="00E30DEC">
              <w:rPr>
                <w:rFonts w:cs="Segoe UI"/>
                <w:szCs w:val="17"/>
              </w:rPr>
              <w:t>§</w:t>
            </w:r>
            <w:r w:rsidRPr="00E30DEC">
              <w:rPr>
                <w:szCs w:val="17"/>
              </w:rPr>
              <w:t>3C).</w:t>
            </w:r>
          </w:p>
        </w:tc>
      </w:tr>
      <w:tr w:rsidR="002A0515" w:rsidRPr="00E30DEC" w:rsidTr="00A54BE4">
        <w:tc>
          <w:tcPr>
            <w:tcW w:w="2008" w:type="dxa"/>
          </w:tcPr>
          <w:p w:rsidR="002A0515" w:rsidRPr="00E30DEC" w:rsidRDefault="002A0515" w:rsidP="00A54BE4">
            <w:pPr>
              <w:spacing w:before="40" w:after="40"/>
              <w:rPr>
                <w:b/>
                <w:sz w:val="17"/>
                <w:lang w:eastAsia="en-GB"/>
              </w:rPr>
            </w:pPr>
            <w:r w:rsidRPr="00E30DEC">
              <w:rPr>
                <w:b/>
                <w:sz w:val="17"/>
                <w:lang w:eastAsia="en-GB"/>
              </w:rPr>
              <w:t>Content:</w:t>
            </w:r>
          </w:p>
        </w:tc>
        <w:tc>
          <w:tcPr>
            <w:tcW w:w="7234" w:type="dxa"/>
          </w:tcPr>
          <w:p w:rsidR="002A0515" w:rsidRPr="00E30DEC" w:rsidRDefault="002A0515" w:rsidP="00A54BE4">
            <w:pPr>
              <w:pStyle w:val="TableText"/>
              <w:jc w:val="both"/>
              <w:rPr>
                <w:szCs w:val="17"/>
              </w:rPr>
            </w:pPr>
            <w:r w:rsidRPr="00E30DEC">
              <w:rPr>
                <w:szCs w:val="17"/>
              </w:rPr>
              <w:t xml:space="preserve">Quantitative information.  Where an AI has a reporting date for disclosure (e.g. </w:t>
            </w:r>
            <w:proofErr w:type="gramStart"/>
            <w:r w:rsidRPr="00E30DEC">
              <w:rPr>
                <w:szCs w:val="17"/>
              </w:rPr>
              <w:t>end</w:t>
            </w:r>
            <w:proofErr w:type="gramEnd"/>
            <w:r w:rsidRPr="00E30DEC">
              <w:rPr>
                <w:szCs w:val="17"/>
              </w:rPr>
              <w:t>-April, end-October) that does not fall on the same position date for the Return of Leverage Ratio (MA(BS)27) (i.e. end-March, end-June, end-September, end-December), the AI should disclose this template based on its own reporting date.  In such circumstance, the calculation basis of values disclosed in this template should, however, follow the same calculation basis used for the return.</w:t>
            </w:r>
          </w:p>
        </w:tc>
      </w:tr>
      <w:tr w:rsidR="002A0515" w:rsidRPr="00E30DEC" w:rsidTr="00A54BE4">
        <w:tc>
          <w:tcPr>
            <w:tcW w:w="2008" w:type="dxa"/>
          </w:tcPr>
          <w:p w:rsidR="002A0515" w:rsidRPr="00E30DEC" w:rsidRDefault="002A0515" w:rsidP="00A54BE4">
            <w:pPr>
              <w:spacing w:before="40" w:after="40"/>
              <w:rPr>
                <w:sz w:val="17"/>
                <w:lang w:eastAsia="en-GB"/>
              </w:rPr>
            </w:pPr>
            <w:r w:rsidRPr="00E30DEC">
              <w:rPr>
                <w:b/>
                <w:sz w:val="17"/>
                <w:lang w:eastAsia="en-GB"/>
              </w:rPr>
              <w:t>Frequency:</w:t>
            </w:r>
          </w:p>
        </w:tc>
        <w:tc>
          <w:tcPr>
            <w:tcW w:w="7234" w:type="dxa"/>
          </w:tcPr>
          <w:p w:rsidR="002A0515" w:rsidRPr="00E30DEC" w:rsidRDefault="002A0515" w:rsidP="00A54BE4">
            <w:pPr>
              <w:pStyle w:val="TableText"/>
              <w:jc w:val="both"/>
              <w:rPr>
                <w:lang w:eastAsia="en-GB"/>
              </w:rPr>
            </w:pPr>
            <w:r w:rsidRPr="00E30DEC">
              <w:rPr>
                <w:lang w:eastAsia="en-GB"/>
              </w:rPr>
              <w:t>Quarterly.</w:t>
            </w:r>
          </w:p>
        </w:tc>
      </w:tr>
      <w:tr w:rsidR="002A0515" w:rsidRPr="00E30DEC" w:rsidTr="00A54BE4">
        <w:tc>
          <w:tcPr>
            <w:tcW w:w="2008" w:type="dxa"/>
          </w:tcPr>
          <w:p w:rsidR="002A0515" w:rsidRPr="00E30DEC" w:rsidRDefault="002A0515" w:rsidP="00A54BE4">
            <w:pPr>
              <w:spacing w:before="40" w:after="40"/>
              <w:rPr>
                <w:sz w:val="17"/>
                <w:lang w:eastAsia="en-GB"/>
              </w:rPr>
            </w:pPr>
            <w:r w:rsidRPr="00E30DEC">
              <w:rPr>
                <w:b/>
                <w:sz w:val="17"/>
                <w:lang w:eastAsia="en-GB"/>
              </w:rPr>
              <w:t>Format:</w:t>
            </w:r>
          </w:p>
        </w:tc>
        <w:tc>
          <w:tcPr>
            <w:tcW w:w="7234" w:type="dxa"/>
          </w:tcPr>
          <w:p w:rsidR="002A0515" w:rsidRPr="00E30DEC" w:rsidRDefault="002A0515" w:rsidP="00A54BE4">
            <w:pPr>
              <w:pStyle w:val="TableText"/>
              <w:jc w:val="both"/>
              <w:rPr>
                <w:lang w:eastAsia="en-GB"/>
              </w:rPr>
            </w:pPr>
            <w:r w:rsidRPr="00E30DEC">
              <w:rPr>
                <w:lang w:eastAsia="en-GB"/>
              </w:rPr>
              <w:t>Fixed.</w:t>
            </w:r>
          </w:p>
        </w:tc>
      </w:tr>
      <w:tr w:rsidR="002A0515" w:rsidRPr="00E30DEC" w:rsidTr="00A54BE4">
        <w:tc>
          <w:tcPr>
            <w:tcW w:w="2008" w:type="dxa"/>
          </w:tcPr>
          <w:p w:rsidR="002A0515" w:rsidRPr="00E30DEC" w:rsidRDefault="002A0515" w:rsidP="00A54BE4">
            <w:pPr>
              <w:spacing w:before="40" w:after="40"/>
              <w:rPr>
                <w:b/>
                <w:sz w:val="17"/>
                <w:lang w:eastAsia="en-GB"/>
              </w:rPr>
            </w:pPr>
            <w:r w:rsidRPr="00E30DEC">
              <w:rPr>
                <w:rFonts w:eastAsiaTheme="minorEastAsia"/>
                <w:b/>
                <w:sz w:val="17"/>
                <w:szCs w:val="17"/>
                <w:lang w:eastAsia="en-GB"/>
              </w:rPr>
              <w:t>Accompanying narrative</w:t>
            </w:r>
            <w:r w:rsidRPr="00E30DEC">
              <w:rPr>
                <w:rFonts w:eastAsiaTheme="minorEastAsia"/>
                <w:sz w:val="17"/>
                <w:szCs w:val="17"/>
                <w:lang w:eastAsia="en-GB"/>
              </w:rPr>
              <w:t>:</w:t>
            </w:r>
          </w:p>
        </w:tc>
        <w:tc>
          <w:tcPr>
            <w:tcW w:w="7234" w:type="dxa"/>
          </w:tcPr>
          <w:p w:rsidR="002A0515" w:rsidRPr="00E30DEC" w:rsidRDefault="002A0515" w:rsidP="00A54BE4">
            <w:pPr>
              <w:pStyle w:val="TableText"/>
              <w:jc w:val="both"/>
              <w:rPr>
                <w:noProof/>
                <w:szCs w:val="17"/>
                <w:lang w:eastAsia="en-GB"/>
              </w:rPr>
            </w:pPr>
            <w:r w:rsidRPr="00E30DEC">
              <w:rPr>
                <w:szCs w:val="17"/>
                <w:lang w:eastAsia="en-GB"/>
              </w:rPr>
              <w:t>An AI s</w:t>
            </w:r>
            <w:r w:rsidRPr="00E30DEC">
              <w:rPr>
                <w:szCs w:val="17"/>
              </w:rPr>
              <w:t>hould describe the key factors that have had a material impact on the LR at the end of the current reporting period compared to the end of the preceding reporting period.</w:t>
            </w:r>
          </w:p>
        </w:tc>
      </w:tr>
      <w:tr w:rsidR="002A0515" w:rsidRPr="00E30DEC" w:rsidTr="00A54BE4">
        <w:tc>
          <w:tcPr>
            <w:tcW w:w="2008" w:type="dxa"/>
          </w:tcPr>
          <w:p w:rsidR="002A0515" w:rsidRPr="00E30DEC" w:rsidRDefault="002A0515" w:rsidP="00A54BE4">
            <w:pPr>
              <w:spacing w:before="40" w:after="40"/>
              <w:rPr>
                <w:rFonts w:eastAsiaTheme="minorEastAsia"/>
                <w:b/>
                <w:sz w:val="17"/>
                <w:szCs w:val="17"/>
                <w:lang w:eastAsia="en-GB"/>
              </w:rPr>
            </w:pPr>
            <w:r w:rsidRPr="00E30DEC">
              <w:rPr>
                <w:rFonts w:eastAsiaTheme="minorEastAsia"/>
                <w:b/>
                <w:sz w:val="17"/>
                <w:szCs w:val="17"/>
                <w:lang w:eastAsia="en-GB"/>
              </w:rPr>
              <w:t>Corresponding BDR section:</w:t>
            </w:r>
          </w:p>
        </w:tc>
        <w:tc>
          <w:tcPr>
            <w:tcW w:w="7234" w:type="dxa"/>
          </w:tcPr>
          <w:p w:rsidR="002A0515" w:rsidRPr="00E30DEC" w:rsidRDefault="002A0515" w:rsidP="00A54BE4">
            <w:pPr>
              <w:pStyle w:val="TableText"/>
              <w:jc w:val="both"/>
              <w:rPr>
                <w:szCs w:val="17"/>
                <w:lang w:eastAsia="en-GB"/>
              </w:rPr>
            </w:pPr>
            <w:r w:rsidRPr="00E30DEC">
              <w:rPr>
                <w:szCs w:val="17"/>
                <w:lang w:eastAsia="en-GB"/>
              </w:rPr>
              <w:t>16FI</w:t>
            </w:r>
          </w:p>
        </w:tc>
      </w:tr>
    </w:tbl>
    <w:p w:rsidR="002A0515" w:rsidRDefault="002A0515" w:rsidP="002A0515">
      <w:pPr>
        <w:spacing w:before="120" w:after="120"/>
        <w:rPr>
          <w:sz w:val="22"/>
        </w:rPr>
        <w:sectPr w:rsidR="002A0515" w:rsidSect="00A54BE4">
          <w:footerReference w:type="first" r:id="rId16"/>
          <w:pgSz w:w="11906" w:h="16838"/>
          <w:pgMar w:top="1440" w:right="1800" w:bottom="1440" w:left="1800" w:header="851" w:footer="992" w:gutter="0"/>
          <w:cols w:space="425"/>
          <w:titlePg/>
          <w:docGrid w:type="lines" w:linePitch="360"/>
        </w:sectPr>
      </w:pPr>
    </w:p>
    <w:p w:rsidR="002A0515" w:rsidRDefault="002A0515" w:rsidP="002A0515"/>
    <w:p w:rsidR="002A0515" w:rsidRPr="00E30DEC" w:rsidRDefault="002A0515" w:rsidP="002A0515">
      <w:pPr>
        <w:rPr>
          <w:sz w:val="22"/>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237"/>
        <w:gridCol w:w="1205"/>
        <w:gridCol w:w="1205"/>
      </w:tblGrid>
      <w:tr w:rsidR="002A0515" w:rsidRPr="00E30DEC" w:rsidTr="00A54BE4">
        <w:trPr>
          <w:trHeight w:val="150"/>
          <w:tblHeader/>
        </w:trPr>
        <w:tc>
          <w:tcPr>
            <w:tcW w:w="6804" w:type="dxa"/>
            <w:gridSpan w:val="2"/>
            <w:tcBorders>
              <w:top w:val="nil"/>
              <w:left w:val="nil"/>
              <w:bottom w:val="nil"/>
              <w:right w:val="single" w:sz="4" w:space="0" w:color="auto"/>
            </w:tcBorders>
            <w:shd w:val="clear" w:color="auto" w:fill="auto"/>
            <w:vAlign w:val="center"/>
          </w:tcPr>
          <w:p w:rsidR="002A0515" w:rsidRPr="00E30DEC" w:rsidRDefault="002A0515" w:rsidP="00A54BE4">
            <w:pPr>
              <w:pStyle w:val="Default"/>
              <w:rPr>
                <w:b/>
                <w:bCs/>
                <w:sz w:val="20"/>
                <w:szCs w:val="20"/>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2A0515" w:rsidRPr="00E30DEC" w:rsidRDefault="002A0515" w:rsidP="00A54BE4">
            <w:pPr>
              <w:pStyle w:val="TableText"/>
              <w:snapToGrid w:val="0"/>
              <w:jc w:val="center"/>
              <w:rPr>
                <w:bCs/>
                <w:lang w:eastAsia="it-IT"/>
              </w:rPr>
            </w:pPr>
            <w:r w:rsidRPr="00E30DEC">
              <w:rPr>
                <w:bCs/>
                <w:lang w:eastAsia="it-IT"/>
              </w:rPr>
              <w:t>(a)</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2A0515" w:rsidRPr="00E30DEC" w:rsidRDefault="002A0515" w:rsidP="00A54BE4">
            <w:pPr>
              <w:pStyle w:val="TableText"/>
              <w:snapToGrid w:val="0"/>
              <w:jc w:val="center"/>
              <w:rPr>
                <w:bCs/>
                <w:lang w:eastAsia="it-IT"/>
              </w:rPr>
            </w:pPr>
            <w:r w:rsidRPr="00E30DEC">
              <w:rPr>
                <w:bCs/>
                <w:lang w:eastAsia="it-IT"/>
              </w:rPr>
              <w:t>(b)</w:t>
            </w:r>
          </w:p>
        </w:tc>
      </w:tr>
      <w:tr w:rsidR="002A0515" w:rsidRPr="00E30DEC" w:rsidTr="00A54BE4">
        <w:trPr>
          <w:trHeight w:val="150"/>
          <w:tblHeader/>
        </w:trPr>
        <w:tc>
          <w:tcPr>
            <w:tcW w:w="6804" w:type="dxa"/>
            <w:gridSpan w:val="2"/>
            <w:tcBorders>
              <w:top w:val="nil"/>
              <w:left w:val="nil"/>
              <w:bottom w:val="nil"/>
              <w:right w:val="single" w:sz="4" w:space="0" w:color="auto"/>
            </w:tcBorders>
            <w:shd w:val="clear" w:color="auto" w:fill="auto"/>
            <w:vAlign w:val="center"/>
          </w:tcPr>
          <w:p w:rsidR="002A0515" w:rsidRPr="00E30DEC" w:rsidRDefault="002A0515" w:rsidP="00A54BE4">
            <w:pPr>
              <w:pStyle w:val="Default"/>
              <w:rPr>
                <w:b/>
                <w:bCs/>
                <w:sz w:val="20"/>
                <w:szCs w:val="20"/>
              </w:rPr>
            </w:pPr>
          </w:p>
        </w:tc>
        <w:tc>
          <w:tcPr>
            <w:tcW w:w="241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2A0515" w:rsidRPr="00E30DEC" w:rsidRDefault="002A0515" w:rsidP="00A54BE4">
            <w:pPr>
              <w:pStyle w:val="TableText"/>
              <w:snapToGrid w:val="0"/>
              <w:jc w:val="center"/>
              <w:rPr>
                <w:bCs/>
                <w:lang w:eastAsia="it-IT"/>
              </w:rPr>
            </w:pPr>
            <w:r w:rsidRPr="00E30DEC">
              <w:rPr>
                <w:bCs/>
                <w:lang w:eastAsia="it-IT"/>
              </w:rPr>
              <w:t>HK$ equivalent</w:t>
            </w:r>
          </w:p>
        </w:tc>
      </w:tr>
      <w:tr w:rsidR="002A0515" w:rsidRPr="00E30DEC" w:rsidTr="00A54BE4">
        <w:trPr>
          <w:trHeight w:val="48"/>
          <w:tblHeader/>
        </w:trPr>
        <w:tc>
          <w:tcPr>
            <w:tcW w:w="6804" w:type="dxa"/>
            <w:gridSpan w:val="2"/>
            <w:tcBorders>
              <w:top w:val="nil"/>
              <w:left w:val="nil"/>
              <w:bottom w:val="single" w:sz="6" w:space="0" w:color="auto"/>
              <w:right w:val="single" w:sz="6" w:space="0" w:color="auto"/>
            </w:tcBorders>
            <w:shd w:val="clear" w:color="auto" w:fill="auto"/>
            <w:vAlign w:val="center"/>
          </w:tcPr>
          <w:p w:rsidR="002A0515" w:rsidRPr="00E30DEC" w:rsidRDefault="002A0515" w:rsidP="00A54BE4">
            <w:pPr>
              <w:pStyle w:val="TableText"/>
              <w:snapToGrid w:val="0"/>
              <w:rPr>
                <w:lang w:val="en-US"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rsidR="002A0515" w:rsidRPr="00E30DEC" w:rsidRDefault="002A0515" w:rsidP="00A54BE4">
            <w:pPr>
              <w:pStyle w:val="TableText"/>
              <w:snapToGrid w:val="0"/>
              <w:jc w:val="center"/>
              <w:rPr>
                <w:bCs/>
                <w:lang w:eastAsia="it-IT"/>
              </w:rPr>
            </w:pPr>
            <w:r w:rsidRPr="00E30DEC">
              <w:rPr>
                <w:bCs/>
                <w:lang w:eastAsia="it-IT"/>
              </w:rPr>
              <w:t>T</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rsidR="002A0515" w:rsidRPr="00E30DEC" w:rsidRDefault="002A0515" w:rsidP="00A54BE4">
            <w:pPr>
              <w:pStyle w:val="TableText"/>
              <w:snapToGrid w:val="0"/>
              <w:jc w:val="center"/>
              <w:rPr>
                <w:bCs/>
                <w:lang w:eastAsia="it-IT"/>
              </w:rPr>
            </w:pPr>
            <w:r w:rsidRPr="00E30DEC">
              <w:rPr>
                <w:bCs/>
                <w:lang w:eastAsia="it-IT"/>
              </w:rPr>
              <w:t>T-1</w:t>
            </w:r>
          </w:p>
        </w:tc>
      </w:tr>
      <w:tr w:rsidR="002A0515" w:rsidRPr="00E30DEC" w:rsidTr="00A54BE4">
        <w:trPr>
          <w:cantSplit/>
          <w:trHeight w:val="285"/>
        </w:trPr>
        <w:tc>
          <w:tcPr>
            <w:tcW w:w="6804" w:type="dxa"/>
            <w:gridSpan w:val="2"/>
            <w:tcBorders>
              <w:top w:val="single" w:sz="6" w:space="0" w:color="auto"/>
              <w:left w:val="nil"/>
              <w:bottom w:val="single" w:sz="6" w:space="0" w:color="BCBDBC"/>
              <w:right w:val="nil"/>
            </w:tcBorders>
            <w:shd w:val="clear" w:color="auto" w:fill="D9D9D9" w:themeFill="background1" w:themeFillShade="D9"/>
          </w:tcPr>
          <w:p w:rsidR="002A0515" w:rsidRPr="00E30DEC" w:rsidRDefault="002A0515" w:rsidP="00A54BE4">
            <w:pPr>
              <w:pStyle w:val="Default"/>
              <w:ind w:firstLineChars="50" w:firstLine="85"/>
              <w:rPr>
                <w:rFonts w:eastAsia="Times New Roman" w:cs="Times New Roman"/>
                <w:b/>
                <w:color w:val="auto"/>
                <w:sz w:val="17"/>
                <w:szCs w:val="20"/>
                <w:lang w:val="en-GB" w:eastAsia="it-IT"/>
              </w:rPr>
            </w:pPr>
            <w:r w:rsidRPr="00E30DEC">
              <w:rPr>
                <w:rFonts w:eastAsia="Times New Roman" w:cs="Times New Roman"/>
                <w:b/>
                <w:color w:val="auto"/>
                <w:sz w:val="17"/>
                <w:szCs w:val="20"/>
                <w:lang w:val="en-GB" w:eastAsia="it-IT"/>
              </w:rPr>
              <w:t>On-balance sheet exposures</w:t>
            </w:r>
          </w:p>
        </w:tc>
        <w:tc>
          <w:tcPr>
            <w:tcW w:w="1205" w:type="dxa"/>
            <w:tcBorders>
              <w:top w:val="single" w:sz="6" w:space="0" w:color="auto"/>
              <w:left w:val="nil"/>
              <w:bottom w:val="single" w:sz="6" w:space="0" w:color="BCBDBC"/>
              <w:right w:val="nil"/>
            </w:tcBorders>
            <w:shd w:val="clear" w:color="auto" w:fill="D9D9D9" w:themeFill="background1" w:themeFillShade="D9"/>
          </w:tcPr>
          <w:p w:rsidR="002A0515" w:rsidRPr="00E30DEC" w:rsidRDefault="002A0515" w:rsidP="00A54BE4">
            <w:pPr>
              <w:pStyle w:val="TableText"/>
              <w:snapToGrid w:val="0"/>
              <w:rPr>
                <w:lang w:eastAsia="it-IT"/>
              </w:rPr>
            </w:pPr>
          </w:p>
        </w:tc>
        <w:tc>
          <w:tcPr>
            <w:tcW w:w="1205" w:type="dxa"/>
            <w:tcBorders>
              <w:top w:val="single" w:sz="6" w:space="0" w:color="auto"/>
              <w:left w:val="nil"/>
              <w:bottom w:val="single" w:sz="6" w:space="0" w:color="BCBDBC"/>
              <w:right w:val="single" w:sz="4" w:space="0" w:color="auto"/>
            </w:tcBorders>
            <w:shd w:val="clear" w:color="auto" w:fill="D9D9D9" w:themeFill="background1" w:themeFillShade="D9"/>
          </w:tcPr>
          <w:p w:rsidR="002A0515" w:rsidRPr="00E30DEC" w:rsidRDefault="002A0515" w:rsidP="00A54BE4">
            <w:pPr>
              <w:pStyle w:val="TableText"/>
              <w:snapToGrid w:val="0"/>
              <w:rPr>
                <w:lang w:eastAsia="it-IT"/>
              </w:rPr>
            </w:pPr>
          </w:p>
        </w:tc>
      </w:tr>
      <w:tr w:rsidR="002A0515" w:rsidRPr="00E30DEC" w:rsidTr="00A54BE4">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2A0515" w:rsidRPr="00E30DEC" w:rsidRDefault="002A0515" w:rsidP="002A0515">
            <w:pPr>
              <w:pStyle w:val="TableText"/>
              <w:numPr>
                <w:ilvl w:val="0"/>
                <w:numId w:val="91"/>
              </w:numPr>
              <w:snapToGrid w:val="0"/>
              <w:ind w:left="286" w:hanging="282"/>
              <w:rPr>
                <w:szCs w:val="17"/>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ind w:left="57" w:rightChars="71" w:right="142"/>
              <w:rPr>
                <w:lang w:eastAsia="it-IT"/>
              </w:rPr>
            </w:pPr>
            <w:r w:rsidRPr="00E30DEC">
              <w:rPr>
                <w:lang w:eastAsia="it-IT"/>
              </w:rPr>
              <w:t>On-balance sheet exposures (excluding those arising from derivative contracts and SFTs, but including collateral)</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2A0515" w:rsidRPr="00E30DEC" w:rsidRDefault="002A0515" w:rsidP="00A54BE4">
            <w:pPr>
              <w:pStyle w:val="TableText"/>
              <w:snapToGrid w:val="0"/>
              <w:rPr>
                <w:lang w:eastAsia="it-IT"/>
              </w:rPr>
            </w:pPr>
          </w:p>
        </w:tc>
      </w:tr>
      <w:tr w:rsidR="002A0515" w:rsidRPr="00E30DEC" w:rsidTr="00A54BE4">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ind w:left="57" w:rightChars="71" w:right="142"/>
              <w:rPr>
                <w:lang w:eastAsia="it-IT"/>
              </w:rPr>
            </w:pPr>
            <w:r w:rsidRPr="00E30DEC">
              <w:rPr>
                <w:lang w:eastAsia="it-IT"/>
              </w:rPr>
              <w:t>Less: Asset amounts deducted in determining Tier 1 capital</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2A0515" w:rsidRPr="00E30DEC" w:rsidRDefault="002A0515" w:rsidP="00A54BE4">
            <w:pPr>
              <w:pStyle w:val="TableText"/>
              <w:snapToGrid w:val="0"/>
              <w:rPr>
                <w:lang w:eastAsia="it-IT"/>
              </w:rPr>
            </w:pPr>
          </w:p>
        </w:tc>
      </w:tr>
      <w:tr w:rsidR="002A0515" w:rsidRPr="00E30DEC" w:rsidTr="00A54BE4">
        <w:trPr>
          <w:cantSplit/>
          <w:trHeight w:val="285"/>
        </w:trPr>
        <w:tc>
          <w:tcPr>
            <w:tcW w:w="567" w:type="dxa"/>
            <w:tcBorders>
              <w:top w:val="single" w:sz="6" w:space="0" w:color="auto"/>
              <w:left w:val="nil"/>
              <w:bottom w:val="single" w:sz="6" w:space="0" w:color="auto"/>
              <w:right w:val="single" w:sz="6"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ightChars="71" w:right="142"/>
              <w:rPr>
                <w:b/>
                <w:lang w:eastAsia="it-IT"/>
              </w:rPr>
            </w:pPr>
            <w:r w:rsidRPr="00E30DEC">
              <w:rPr>
                <w:b/>
                <w:lang w:eastAsia="it-IT"/>
              </w:rPr>
              <w:t>Total on-balance sheet exposures (excluding derivative contracts and SFTs)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2A0515" w:rsidRPr="00E30DEC" w:rsidRDefault="002A0515" w:rsidP="00A54BE4">
            <w:pPr>
              <w:pStyle w:val="TableText"/>
              <w:snapToGrid w:val="0"/>
              <w:rPr>
                <w:lang w:eastAsia="it-IT"/>
              </w:rPr>
            </w:pPr>
          </w:p>
        </w:tc>
      </w:tr>
      <w:tr w:rsidR="002A0515" w:rsidRPr="00E30DEC" w:rsidTr="00A54BE4">
        <w:trPr>
          <w:cantSplit/>
          <w:trHeight w:val="285"/>
        </w:trPr>
        <w:tc>
          <w:tcPr>
            <w:tcW w:w="6804" w:type="dxa"/>
            <w:gridSpan w:val="2"/>
            <w:tcBorders>
              <w:top w:val="single" w:sz="6" w:space="0" w:color="auto"/>
              <w:left w:val="nil"/>
              <w:bottom w:val="single" w:sz="4" w:space="0" w:color="auto"/>
              <w:right w:val="nil"/>
            </w:tcBorders>
            <w:shd w:val="clear" w:color="auto" w:fill="D9D9D9" w:themeFill="background1" w:themeFillShade="D9"/>
          </w:tcPr>
          <w:p w:rsidR="002A0515" w:rsidRPr="00E30DEC" w:rsidRDefault="002A0515" w:rsidP="00A54BE4">
            <w:pPr>
              <w:pStyle w:val="Default"/>
              <w:ind w:firstLineChars="50" w:firstLine="85"/>
              <w:rPr>
                <w:b/>
                <w:sz w:val="17"/>
                <w:szCs w:val="17"/>
                <w:lang w:eastAsia="it-IT"/>
              </w:rPr>
            </w:pPr>
            <w:r w:rsidRPr="00E30DEC">
              <w:rPr>
                <w:b/>
                <w:sz w:val="17"/>
                <w:szCs w:val="17"/>
                <w:lang w:eastAsia="it-IT"/>
              </w:rPr>
              <w:t>Exposures arising from derivative contracts</w:t>
            </w:r>
          </w:p>
        </w:tc>
        <w:tc>
          <w:tcPr>
            <w:tcW w:w="1205" w:type="dxa"/>
            <w:tcBorders>
              <w:top w:val="single" w:sz="6" w:space="0" w:color="auto"/>
              <w:left w:val="nil"/>
              <w:bottom w:val="single" w:sz="4" w:space="0" w:color="auto"/>
              <w:right w:val="nil"/>
            </w:tcBorders>
            <w:shd w:val="clear" w:color="auto" w:fill="D9D9D9" w:themeFill="background1" w:themeFillShade="D9"/>
          </w:tcPr>
          <w:p w:rsidR="002A0515" w:rsidRPr="00E30DEC" w:rsidRDefault="002A0515" w:rsidP="00A54BE4">
            <w:pPr>
              <w:pStyle w:val="TableText"/>
              <w:snapToGrid w:val="0"/>
              <w:rPr>
                <w:lang w:eastAsia="it-IT"/>
              </w:rPr>
            </w:pPr>
          </w:p>
        </w:tc>
        <w:tc>
          <w:tcPr>
            <w:tcW w:w="1205" w:type="dxa"/>
            <w:tcBorders>
              <w:top w:val="single" w:sz="6" w:space="0" w:color="auto"/>
              <w:left w:val="nil"/>
              <w:bottom w:val="single" w:sz="4" w:space="0" w:color="auto"/>
              <w:right w:val="single" w:sz="4" w:space="0" w:color="auto"/>
            </w:tcBorders>
            <w:shd w:val="clear" w:color="auto" w:fill="D9D9D9" w:themeFill="background1" w:themeFillShade="D9"/>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Replacement cost associated with all derivative contracts (where applicable net of eligible cash variation margin and/or with bilateral netting)</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Add-on amounts for PFE associated with all derivative contracts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 xml:space="preserve">Gross-up for </w:t>
            </w:r>
            <w:r w:rsidRPr="00F63E51">
              <w:rPr>
                <w:szCs w:val="17"/>
                <w:lang w:eastAsia="it-IT"/>
              </w:rPr>
              <w:t xml:space="preserve">collateral provided </w:t>
            </w:r>
            <w:r w:rsidRPr="00AC6DA4">
              <w:rPr>
                <w:szCs w:val="17"/>
                <w:lang w:eastAsia="it-IT"/>
              </w:rPr>
              <w:t>in respect of derivative contracts</w:t>
            </w:r>
            <w:r w:rsidRPr="00F63E51">
              <w:rPr>
                <w:szCs w:val="17"/>
                <w:lang w:eastAsia="it-IT"/>
              </w:rPr>
              <w:t xml:space="preserve"> where deducted from the balance sheet assets pursuant to the applicable accounting framework</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B01815" w:rsidRDefault="002A0515" w:rsidP="00A54BE4">
            <w:pPr>
              <w:pStyle w:val="TableText"/>
              <w:snapToGrid w:val="0"/>
              <w:rPr>
                <w:strike/>
                <w:color w:val="FF000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B01815" w:rsidRDefault="002A0515" w:rsidP="00A54BE4">
            <w:pPr>
              <w:pStyle w:val="TableText"/>
              <w:snapToGrid w:val="0"/>
              <w:rPr>
                <w:strike/>
                <w:color w:val="FF0000"/>
              </w:rPr>
            </w:pPr>
          </w:p>
        </w:tc>
      </w:tr>
      <w:tr w:rsidR="002A0515" w:rsidRPr="00E30DEC" w:rsidTr="00A54BE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Less: Deductions of receivables assets for cash variation margin provided under derivative contracts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B01815" w:rsidRDefault="002A0515" w:rsidP="00A54BE4">
            <w:pPr>
              <w:pStyle w:val="TableText"/>
              <w:snapToGrid w:val="0"/>
              <w:rPr>
                <w:strike/>
                <w:color w:val="FF0000"/>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B01815" w:rsidRDefault="002A0515" w:rsidP="00A54BE4">
            <w:pPr>
              <w:pStyle w:val="TableText"/>
              <w:snapToGrid w:val="0"/>
              <w:rPr>
                <w:strike/>
                <w:color w:val="FF0000"/>
              </w:rPr>
            </w:pPr>
          </w:p>
        </w:tc>
      </w:tr>
      <w:tr w:rsidR="002A0515" w:rsidRPr="00E30DEC" w:rsidTr="00A54BE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Less: Exempted CCP leg of client-cleared trade exposures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 xml:space="preserve">Adjusted effective notional amount of written </w:t>
            </w:r>
            <w:r>
              <w:rPr>
                <w:szCs w:val="17"/>
                <w:lang w:eastAsia="it-IT"/>
              </w:rPr>
              <w:t>credit-related derivative</w:t>
            </w:r>
            <w:r w:rsidRPr="00E30DEC">
              <w:rPr>
                <w:szCs w:val="17"/>
                <w:lang w:eastAsia="it-IT"/>
              </w:rPr>
              <w:t xml:space="preserve"> contracts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 xml:space="preserve">Less: Adjusted effective notional offsets and add-on deductions for written </w:t>
            </w:r>
            <w:r>
              <w:rPr>
                <w:szCs w:val="17"/>
                <w:lang w:eastAsia="it-IT"/>
              </w:rPr>
              <w:t>credit-related derivative</w:t>
            </w:r>
            <w:r w:rsidRPr="00E30DEC">
              <w:rPr>
                <w:szCs w:val="17"/>
                <w:lang w:eastAsia="it-IT"/>
              </w:rPr>
              <w:t xml:space="preserve"> contracts</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szCs w:val="17"/>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4"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E30DEC" w:rsidRDefault="002A0515" w:rsidP="00A54BE4">
            <w:pPr>
              <w:pStyle w:val="TableText"/>
              <w:snapToGrid w:val="0"/>
              <w:ind w:left="57" w:rightChars="71" w:right="142"/>
              <w:rPr>
                <w:b/>
                <w:szCs w:val="17"/>
                <w:lang w:eastAsia="it-IT"/>
              </w:rPr>
            </w:pPr>
            <w:r w:rsidRPr="00E30DEC">
              <w:rPr>
                <w:b/>
                <w:szCs w:val="17"/>
                <w:lang w:eastAsia="it-IT"/>
              </w:rPr>
              <w:t>Total exposures arising from derivative contracts</w:t>
            </w: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E30DEC" w:rsidRDefault="002A0515" w:rsidP="00A54BE4">
            <w:pPr>
              <w:pStyle w:val="TableText"/>
              <w:snapToGrid w:val="0"/>
              <w:rPr>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E30DEC" w:rsidRDefault="002A0515" w:rsidP="00A54BE4">
            <w:pPr>
              <w:pStyle w:val="TableText"/>
              <w:snapToGrid w:val="0"/>
              <w:rPr>
                <w:szCs w:val="17"/>
                <w:lang w:eastAsia="it-IT"/>
              </w:rPr>
            </w:pPr>
          </w:p>
        </w:tc>
      </w:tr>
      <w:tr w:rsidR="002A0515" w:rsidRPr="00E30DEC" w:rsidTr="00A54BE4">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2A0515" w:rsidRPr="00E30DEC" w:rsidRDefault="002A0515" w:rsidP="00A54BE4">
            <w:pPr>
              <w:pStyle w:val="Default"/>
              <w:ind w:firstLineChars="50" w:firstLine="85"/>
              <w:rPr>
                <w:b/>
                <w:bCs/>
                <w:sz w:val="17"/>
                <w:szCs w:val="17"/>
              </w:rPr>
            </w:pPr>
            <w:r w:rsidRPr="00E30DEC">
              <w:rPr>
                <w:b/>
                <w:sz w:val="17"/>
                <w:szCs w:val="17"/>
                <w:lang w:eastAsia="it-IT"/>
              </w:rPr>
              <w:t>Exposures arising from SFTs</w:t>
            </w:r>
          </w:p>
        </w:tc>
        <w:tc>
          <w:tcPr>
            <w:tcW w:w="1205" w:type="dxa"/>
            <w:tcBorders>
              <w:top w:val="single" w:sz="6" w:space="0" w:color="auto"/>
              <w:left w:val="nil"/>
              <w:bottom w:val="single" w:sz="6" w:space="0" w:color="auto"/>
              <w:right w:val="nil"/>
            </w:tcBorders>
            <w:shd w:val="clear" w:color="auto" w:fill="D9D9D9" w:themeFill="background1" w:themeFillShade="D9"/>
          </w:tcPr>
          <w:p w:rsidR="002A0515" w:rsidRPr="00E30DEC" w:rsidRDefault="002A0515" w:rsidP="00A54BE4">
            <w:pPr>
              <w:pStyle w:val="TableText"/>
              <w:snapToGrid w:val="0"/>
              <w:rPr>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6" w:space="0" w:color="auto"/>
              <w:left w:val="single" w:sz="6" w:space="0" w:color="auto"/>
              <w:bottom w:val="single" w:sz="4" w:space="0" w:color="auto"/>
              <w:right w:val="single" w:sz="6"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Gross SFT assets (with no recognition of netting), after adjusting for sale accounting transactions</w:t>
            </w:r>
          </w:p>
        </w:tc>
        <w:tc>
          <w:tcPr>
            <w:tcW w:w="1205" w:type="dxa"/>
            <w:tcBorders>
              <w:top w:val="single" w:sz="6" w:space="0" w:color="auto"/>
              <w:left w:val="single" w:sz="6" w:space="0" w:color="auto"/>
              <w:bottom w:val="single" w:sz="4" w:space="0" w:color="auto"/>
              <w:right w:val="single" w:sz="6" w:space="0" w:color="auto"/>
            </w:tcBorders>
            <w:shd w:val="clear" w:color="auto" w:fill="auto"/>
          </w:tcPr>
          <w:p w:rsidR="002A0515" w:rsidRPr="00E30DEC" w:rsidRDefault="002A0515" w:rsidP="00A54BE4">
            <w:pPr>
              <w:pStyle w:val="TableText"/>
              <w:snapToGrid w:val="0"/>
              <w:rPr>
                <w:lang w:eastAsia="it-IT"/>
              </w:rPr>
            </w:pPr>
          </w:p>
        </w:tc>
        <w:tc>
          <w:tcPr>
            <w:tcW w:w="1205" w:type="dxa"/>
            <w:tcBorders>
              <w:top w:val="single" w:sz="6" w:space="0" w:color="auto"/>
              <w:left w:val="single" w:sz="6"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lang w:eastAsia="it-IT"/>
              </w:rPr>
            </w:pPr>
          </w:p>
        </w:tc>
      </w:tr>
      <w:tr w:rsidR="002A0515" w:rsidRPr="00E30DEC" w:rsidTr="00A54BE4">
        <w:trPr>
          <w:cantSplit/>
          <w:trHeight w:val="354"/>
        </w:trPr>
        <w:tc>
          <w:tcPr>
            <w:tcW w:w="567" w:type="dxa"/>
            <w:tcBorders>
              <w:top w:val="single" w:sz="4" w:space="0" w:color="auto"/>
              <w:left w:val="nil"/>
              <w:bottom w:val="single" w:sz="4" w:space="0" w:color="auto"/>
              <w:right w:val="single" w:sz="6"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6" w:space="0" w:color="auto"/>
              <w:bottom w:val="single" w:sz="4" w:space="0" w:color="auto"/>
              <w:right w:val="single" w:sz="6"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Less: Netted amounts of cash payables and cash receivables of gross SFT assets</w:t>
            </w:r>
          </w:p>
        </w:tc>
        <w:tc>
          <w:tcPr>
            <w:tcW w:w="1205" w:type="dxa"/>
            <w:tcBorders>
              <w:top w:val="single" w:sz="4" w:space="0" w:color="auto"/>
              <w:left w:val="single" w:sz="6" w:space="0" w:color="auto"/>
              <w:bottom w:val="single" w:sz="4" w:space="0" w:color="auto"/>
              <w:right w:val="single" w:sz="6" w:space="0" w:color="auto"/>
            </w:tcBorders>
            <w:shd w:val="clear" w:color="auto" w:fill="auto"/>
          </w:tcPr>
          <w:p w:rsidR="002A0515" w:rsidRPr="00E30DEC" w:rsidRDefault="002A0515" w:rsidP="00A54BE4">
            <w:pPr>
              <w:pStyle w:val="TableText"/>
              <w:snapToGrid w:val="0"/>
              <w:rPr>
                <w:lang w:eastAsia="it-IT"/>
              </w:rPr>
            </w:pPr>
          </w:p>
        </w:tc>
        <w:tc>
          <w:tcPr>
            <w:tcW w:w="1205" w:type="dxa"/>
            <w:tcBorders>
              <w:top w:val="single" w:sz="4" w:space="0" w:color="auto"/>
              <w:left w:val="single" w:sz="6" w:space="0" w:color="auto"/>
              <w:bottom w:val="single" w:sz="4" w:space="0" w:color="auto"/>
              <w:right w:val="single" w:sz="4" w:space="0" w:color="auto"/>
            </w:tcBorders>
            <w:shd w:val="clear" w:color="auto" w:fill="auto"/>
          </w:tcPr>
          <w:p w:rsidR="002A0515" w:rsidRPr="00E30DEC" w:rsidRDefault="002A0515" w:rsidP="00A54BE4">
            <w:pPr>
              <w:pStyle w:val="TableText"/>
              <w:snapToGrid w:val="0"/>
              <w:rPr>
                <w:lang w:eastAsia="it-IT"/>
              </w:rPr>
            </w:pPr>
          </w:p>
        </w:tc>
      </w:tr>
      <w:tr w:rsidR="002A0515" w:rsidRPr="00E30DEC" w:rsidTr="00A54BE4">
        <w:trPr>
          <w:cantSplit/>
        </w:trPr>
        <w:tc>
          <w:tcPr>
            <w:tcW w:w="567" w:type="dxa"/>
            <w:tcBorders>
              <w:top w:val="single" w:sz="4" w:space="0" w:color="auto"/>
              <w:left w:val="nil"/>
              <w:bottom w:val="single" w:sz="6" w:space="0" w:color="BCBDBC"/>
              <w:right w:val="single" w:sz="6"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4"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CCR exposure for SFT assets</w:t>
            </w:r>
          </w:p>
        </w:tc>
        <w:tc>
          <w:tcPr>
            <w:tcW w:w="1205" w:type="dxa"/>
            <w:tcBorders>
              <w:top w:val="single" w:sz="4"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rPr>
                <w:lang w:eastAsia="it-IT"/>
              </w:rPr>
            </w:pPr>
          </w:p>
        </w:tc>
        <w:tc>
          <w:tcPr>
            <w:tcW w:w="1205" w:type="dxa"/>
            <w:tcBorders>
              <w:top w:val="single" w:sz="4" w:space="0" w:color="auto"/>
              <w:left w:val="single" w:sz="6" w:space="0" w:color="auto"/>
              <w:bottom w:val="single" w:sz="6" w:space="0" w:color="auto"/>
              <w:right w:val="single" w:sz="4" w:space="0" w:color="auto"/>
            </w:tcBorders>
            <w:shd w:val="clear" w:color="auto" w:fill="auto"/>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6" w:space="0" w:color="auto"/>
              <w:left w:val="nil"/>
              <w:bottom w:val="single" w:sz="4" w:space="0" w:color="auto"/>
              <w:right w:val="single" w:sz="6"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Agent transaction exposures</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2A0515" w:rsidRPr="00E30DEC" w:rsidRDefault="002A0515" w:rsidP="002A0515">
            <w:pPr>
              <w:pStyle w:val="TableText"/>
              <w:numPr>
                <w:ilvl w:val="0"/>
                <w:numId w:val="91"/>
              </w:numPr>
              <w:snapToGrid w:val="0"/>
              <w:rPr>
                <w:szCs w:val="17"/>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ightChars="71" w:right="142"/>
              <w:rPr>
                <w:b/>
                <w:szCs w:val="17"/>
                <w:lang w:eastAsia="it-IT"/>
              </w:rPr>
            </w:pPr>
            <w:r w:rsidRPr="00E30DEC">
              <w:rPr>
                <w:b/>
                <w:szCs w:val="17"/>
                <w:lang w:eastAsia="it-IT"/>
              </w:rPr>
              <w:t>Total exposures arising from SFTs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2A0515" w:rsidRPr="00E30DEC" w:rsidRDefault="002A0515" w:rsidP="00A54BE4">
            <w:pPr>
              <w:pStyle w:val="Default"/>
              <w:ind w:firstLineChars="50" w:firstLine="85"/>
              <w:rPr>
                <w:szCs w:val="17"/>
                <w:lang w:eastAsia="it-IT"/>
              </w:rPr>
            </w:pPr>
            <w:r w:rsidRPr="00E30DEC">
              <w:rPr>
                <w:rFonts w:eastAsia="Times New Roman" w:cs="Times New Roman"/>
                <w:b/>
                <w:color w:val="auto"/>
                <w:sz w:val="17"/>
                <w:szCs w:val="20"/>
                <w:lang w:val="en-GB" w:eastAsia="it-IT"/>
              </w:rPr>
              <w:t>Other off-balance sheet exposures</w:t>
            </w:r>
          </w:p>
        </w:tc>
        <w:tc>
          <w:tcPr>
            <w:tcW w:w="1205" w:type="dxa"/>
            <w:tcBorders>
              <w:top w:val="single" w:sz="6" w:space="0" w:color="auto"/>
              <w:left w:val="nil"/>
              <w:bottom w:val="single" w:sz="6" w:space="0" w:color="auto"/>
              <w:right w:val="nil"/>
            </w:tcBorders>
            <w:shd w:val="clear" w:color="auto" w:fill="D9D9D9" w:themeFill="background1" w:themeFillShade="D9"/>
          </w:tcPr>
          <w:p w:rsidR="002A0515" w:rsidRPr="00E30DEC" w:rsidRDefault="002A0515" w:rsidP="00A54BE4">
            <w:pPr>
              <w:pStyle w:val="TableText"/>
              <w:snapToGrid w:val="0"/>
              <w:ind w:left="57"/>
              <w:rPr>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2A0515" w:rsidRPr="00B01815" w:rsidRDefault="002A0515" w:rsidP="002A0515">
            <w:pPr>
              <w:pStyle w:val="TableText"/>
              <w:numPr>
                <w:ilvl w:val="0"/>
                <w:numId w:val="91"/>
              </w:numPr>
              <w:snapToGrid w:val="0"/>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Off-balance sheet exposure at gross notional amount</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2A0515" w:rsidRPr="00B01815" w:rsidRDefault="002A0515" w:rsidP="002A0515">
            <w:pPr>
              <w:pStyle w:val="TableText"/>
              <w:numPr>
                <w:ilvl w:val="0"/>
                <w:numId w:val="91"/>
              </w:numPr>
              <w:snapToGrid w:val="0"/>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ind w:left="57" w:rightChars="71" w:right="142"/>
              <w:rPr>
                <w:szCs w:val="17"/>
                <w:lang w:eastAsia="it-IT"/>
              </w:rPr>
            </w:pPr>
            <w:r w:rsidRPr="00E30DEC">
              <w:rPr>
                <w:szCs w:val="17"/>
                <w:lang w:eastAsia="it-IT"/>
              </w:rPr>
              <w:t>Less: Adjustments for conversion to credit equivalent amounts</w:t>
            </w:r>
          </w:p>
        </w:tc>
        <w:tc>
          <w:tcPr>
            <w:tcW w:w="1205" w:type="dxa"/>
            <w:tcBorders>
              <w:top w:val="single" w:sz="6" w:space="0" w:color="auto"/>
              <w:left w:val="single" w:sz="6" w:space="0" w:color="auto"/>
              <w:bottom w:val="single" w:sz="6" w:space="0" w:color="auto"/>
              <w:right w:val="single" w:sz="6" w:space="0" w:color="auto"/>
            </w:tcBorders>
            <w:shd w:val="clear" w:color="auto" w:fill="auto"/>
          </w:tcPr>
          <w:p w:rsidR="002A0515" w:rsidRPr="00E30DEC" w:rsidRDefault="002A0515" w:rsidP="00A54BE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2A0515" w:rsidRPr="00B01815" w:rsidRDefault="002A0515" w:rsidP="002A0515">
            <w:pPr>
              <w:pStyle w:val="TableText"/>
              <w:numPr>
                <w:ilvl w:val="0"/>
                <w:numId w:val="91"/>
              </w:numPr>
              <w:snapToGrid w:val="0"/>
            </w:pP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ightChars="71" w:right="142"/>
              <w:rPr>
                <w:b/>
                <w:szCs w:val="17"/>
                <w:lang w:eastAsia="it-IT"/>
              </w:rPr>
            </w:pPr>
            <w:r w:rsidRPr="00E30DEC">
              <w:rPr>
                <w:b/>
                <w:szCs w:val="17"/>
                <w:lang w:eastAsia="it-IT"/>
              </w:rPr>
              <w:t>Off-balance sheet items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rsidR="002A0515" w:rsidRPr="00E30DEC" w:rsidRDefault="002A0515" w:rsidP="00A54BE4">
            <w:pPr>
              <w:pStyle w:val="Default"/>
              <w:ind w:firstLineChars="50" w:firstLine="85"/>
              <w:rPr>
                <w:szCs w:val="17"/>
                <w:lang w:eastAsia="it-IT"/>
              </w:rPr>
            </w:pPr>
            <w:r w:rsidRPr="00E30DEC">
              <w:rPr>
                <w:rFonts w:eastAsia="Times New Roman" w:cs="Times New Roman"/>
                <w:b/>
                <w:color w:val="auto"/>
                <w:sz w:val="17"/>
                <w:szCs w:val="20"/>
                <w:lang w:val="en-GB" w:eastAsia="it-IT"/>
              </w:rPr>
              <w:t>Capital and total exposures</w:t>
            </w:r>
          </w:p>
        </w:tc>
        <w:tc>
          <w:tcPr>
            <w:tcW w:w="1205" w:type="dxa"/>
            <w:tcBorders>
              <w:top w:val="single" w:sz="6" w:space="0" w:color="auto"/>
              <w:left w:val="nil"/>
              <w:bottom w:val="single" w:sz="6" w:space="0" w:color="auto"/>
              <w:right w:val="nil"/>
            </w:tcBorders>
            <w:shd w:val="clear" w:color="auto" w:fill="D9D9D9" w:themeFill="background1" w:themeFillShade="D9"/>
          </w:tcPr>
          <w:p w:rsidR="002A0515" w:rsidRPr="00E30DEC" w:rsidRDefault="002A0515" w:rsidP="00A54BE4">
            <w:pPr>
              <w:pStyle w:val="TableText"/>
              <w:snapToGrid w:val="0"/>
              <w:ind w:left="57"/>
              <w:rPr>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2A0515" w:rsidRPr="00E30DEC" w:rsidRDefault="002A0515" w:rsidP="002A0515">
            <w:pPr>
              <w:pStyle w:val="TableText"/>
              <w:numPr>
                <w:ilvl w:val="0"/>
                <w:numId w:val="91"/>
              </w:numPr>
              <w:snapToGrid w:val="0"/>
              <w:rPr>
                <w:sz w:val="16"/>
                <w:szCs w:val="16"/>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ightChars="71" w:right="142"/>
              <w:rPr>
                <w:b/>
                <w:szCs w:val="17"/>
                <w:lang w:eastAsia="it-IT"/>
              </w:rPr>
            </w:pPr>
            <w:r w:rsidRPr="00E30DEC">
              <w:rPr>
                <w:b/>
                <w:szCs w:val="17"/>
                <w:lang w:eastAsia="it-IT"/>
              </w:rPr>
              <w:t>Tier 1 capital</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2A0515" w:rsidRPr="00E30DEC" w:rsidRDefault="002A0515" w:rsidP="00A54BE4">
            <w:pPr>
              <w:pStyle w:val="TableText"/>
              <w:snapToGrid w:val="0"/>
              <w:ind w:left="3"/>
              <w:rPr>
                <w:sz w:val="16"/>
                <w:szCs w:val="16"/>
                <w:lang w:eastAsia="en-GB"/>
              </w:rPr>
            </w:pPr>
            <w:r w:rsidRPr="00E30DEC">
              <w:rPr>
                <w:sz w:val="16"/>
                <w:szCs w:val="16"/>
                <w:lang w:eastAsia="en-GB"/>
              </w:rPr>
              <w:t>20a</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ightChars="71" w:right="142"/>
              <w:rPr>
                <w:b/>
                <w:szCs w:val="17"/>
                <w:lang w:eastAsia="it-IT"/>
              </w:rPr>
            </w:pPr>
            <w:r w:rsidRPr="00E30DEC">
              <w:rPr>
                <w:b/>
                <w:szCs w:val="17"/>
                <w:lang w:eastAsia="it-IT"/>
              </w:rPr>
              <w:t>Total exposures before adjustments for specific and collective provisions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2A0515" w:rsidRPr="00E30DEC" w:rsidRDefault="002A0515" w:rsidP="00A54BE4">
            <w:pPr>
              <w:pStyle w:val="TableText"/>
              <w:snapToGrid w:val="0"/>
              <w:ind w:left="3"/>
              <w:rPr>
                <w:sz w:val="16"/>
                <w:szCs w:val="16"/>
                <w:lang w:eastAsia="en-GB"/>
              </w:rPr>
            </w:pPr>
            <w:r w:rsidRPr="00E30DEC">
              <w:rPr>
                <w:sz w:val="16"/>
                <w:szCs w:val="16"/>
                <w:lang w:eastAsia="en-GB"/>
              </w:rPr>
              <w:t>20b</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ightChars="71" w:right="142"/>
              <w:rPr>
                <w:b/>
                <w:szCs w:val="17"/>
                <w:lang w:eastAsia="it-IT"/>
              </w:rPr>
            </w:pPr>
            <w:r w:rsidRPr="00E30DEC">
              <w:rPr>
                <w:b/>
                <w:szCs w:val="17"/>
                <w:lang w:eastAsia="it-IT"/>
              </w:rPr>
              <w:t>Adjustments for specific and collective provisions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567" w:type="dxa"/>
            <w:tcBorders>
              <w:top w:val="single" w:sz="4" w:space="0" w:color="auto"/>
              <w:left w:val="nil"/>
              <w:bottom w:val="single" w:sz="4" w:space="0" w:color="auto"/>
              <w:right w:val="single" w:sz="6" w:space="0" w:color="auto"/>
            </w:tcBorders>
            <w:shd w:val="clear" w:color="auto" w:fill="auto"/>
          </w:tcPr>
          <w:p w:rsidR="002A0515" w:rsidRPr="00E30DEC" w:rsidRDefault="002A0515" w:rsidP="002A0515">
            <w:pPr>
              <w:pStyle w:val="TableText"/>
              <w:numPr>
                <w:ilvl w:val="0"/>
                <w:numId w:val="91"/>
              </w:numPr>
              <w:snapToGrid w:val="0"/>
              <w:rPr>
                <w:sz w:val="16"/>
                <w:szCs w:val="16"/>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ightChars="71" w:right="142"/>
              <w:rPr>
                <w:b/>
                <w:szCs w:val="17"/>
                <w:lang w:eastAsia="it-IT"/>
              </w:rPr>
            </w:pPr>
            <w:r w:rsidRPr="00E30DEC">
              <w:rPr>
                <w:b/>
                <w:szCs w:val="17"/>
                <w:lang w:eastAsia="it-IT"/>
              </w:rPr>
              <w:t>Total exposures after adjustments for specific and collective provisions</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rsidR="002A0515" w:rsidRPr="00E30DEC" w:rsidRDefault="002A0515" w:rsidP="00A54BE4">
            <w:pPr>
              <w:pStyle w:val="TableText"/>
              <w:snapToGrid w:val="0"/>
              <w:rPr>
                <w:lang w:eastAsia="it-IT"/>
              </w:rPr>
            </w:pPr>
          </w:p>
        </w:tc>
      </w:tr>
      <w:tr w:rsidR="002A0515" w:rsidRPr="00E30DEC" w:rsidTr="00A54BE4">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rsidR="002A0515" w:rsidRPr="00E30DEC" w:rsidRDefault="002A0515" w:rsidP="00A54BE4">
            <w:pPr>
              <w:pStyle w:val="Default"/>
              <w:ind w:firstLineChars="50" w:firstLine="85"/>
              <w:rPr>
                <w:b/>
                <w:sz w:val="17"/>
                <w:szCs w:val="17"/>
                <w:lang w:eastAsia="it-IT"/>
              </w:rPr>
            </w:pPr>
            <w:r w:rsidRPr="00E30DEC">
              <w:rPr>
                <w:b/>
                <w:sz w:val="17"/>
                <w:szCs w:val="17"/>
                <w:lang w:eastAsia="it-IT"/>
              </w:rPr>
              <w:t>Leverage ratio</w:t>
            </w:r>
          </w:p>
        </w:tc>
        <w:tc>
          <w:tcPr>
            <w:tcW w:w="1205" w:type="dxa"/>
            <w:tcBorders>
              <w:top w:val="single" w:sz="6" w:space="0" w:color="auto"/>
              <w:left w:val="nil"/>
              <w:bottom w:val="single" w:sz="6" w:space="0" w:color="auto"/>
              <w:right w:val="nil"/>
            </w:tcBorders>
            <w:shd w:val="clear" w:color="auto" w:fill="D9D9D9" w:themeFill="background1" w:themeFillShade="D9"/>
          </w:tcPr>
          <w:p w:rsidR="002A0515" w:rsidRPr="00E30DEC" w:rsidRDefault="002A0515" w:rsidP="00A54BE4">
            <w:pPr>
              <w:pStyle w:val="TableText"/>
              <w:snapToGrid w:val="0"/>
              <w:ind w:left="57"/>
              <w:rPr>
                <w:lang w:eastAsia="it-IT"/>
              </w:rPr>
            </w:pPr>
          </w:p>
        </w:tc>
        <w:tc>
          <w:tcPr>
            <w:tcW w:w="1205" w:type="dxa"/>
            <w:tcBorders>
              <w:top w:val="single" w:sz="6" w:space="0" w:color="auto"/>
              <w:left w:val="nil"/>
              <w:bottom w:val="single" w:sz="6" w:space="0" w:color="auto"/>
              <w:right w:val="single" w:sz="6" w:space="0" w:color="auto"/>
            </w:tcBorders>
            <w:shd w:val="clear" w:color="auto" w:fill="D9D9D9" w:themeFill="background1" w:themeFillShade="D9"/>
          </w:tcPr>
          <w:p w:rsidR="002A0515" w:rsidRPr="00E30DEC" w:rsidRDefault="002A0515" w:rsidP="00A54BE4">
            <w:pPr>
              <w:pStyle w:val="TableText"/>
              <w:snapToGrid w:val="0"/>
              <w:rPr>
                <w:lang w:eastAsia="it-IT"/>
              </w:rPr>
            </w:pPr>
          </w:p>
        </w:tc>
      </w:tr>
      <w:tr w:rsidR="002A0515" w:rsidRPr="00E30DEC" w:rsidTr="00A54BE4">
        <w:trPr>
          <w:cantSplit/>
          <w:trHeight w:val="230"/>
        </w:trPr>
        <w:tc>
          <w:tcPr>
            <w:tcW w:w="567" w:type="dxa"/>
            <w:tcBorders>
              <w:top w:val="single" w:sz="6" w:space="0" w:color="auto"/>
              <w:left w:val="nil"/>
              <w:bottom w:val="single" w:sz="6" w:space="0" w:color="auto"/>
              <w:right w:val="single" w:sz="6" w:space="0" w:color="auto"/>
            </w:tcBorders>
            <w:shd w:val="clear" w:color="auto" w:fill="auto"/>
          </w:tcPr>
          <w:p w:rsidR="002A0515" w:rsidRPr="00E30DEC" w:rsidRDefault="002A0515" w:rsidP="002A0515">
            <w:pPr>
              <w:pStyle w:val="TableText"/>
              <w:numPr>
                <w:ilvl w:val="0"/>
                <w:numId w:val="91"/>
              </w:numPr>
              <w:snapToGrid w:val="0"/>
              <w:rPr>
                <w:sz w:val="16"/>
                <w:szCs w:val="16"/>
                <w:lang w:eastAsia="en-GB"/>
              </w:rPr>
            </w:pP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ightChars="71" w:right="142"/>
              <w:rPr>
                <w:b/>
                <w:szCs w:val="17"/>
                <w:lang w:eastAsia="it-IT"/>
              </w:rPr>
            </w:pPr>
            <w:r w:rsidRPr="00E30DEC">
              <w:rPr>
                <w:b/>
                <w:szCs w:val="17"/>
                <w:lang w:eastAsia="it-IT"/>
              </w:rPr>
              <w:t>Leverage ratio</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ind w:left="57"/>
              <w:rPr>
                <w:lang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A0515" w:rsidRPr="00E30DEC" w:rsidRDefault="002A0515" w:rsidP="00A54BE4">
            <w:pPr>
              <w:pStyle w:val="TableText"/>
              <w:snapToGrid w:val="0"/>
              <w:rPr>
                <w:lang w:eastAsia="it-IT"/>
              </w:rPr>
            </w:pPr>
          </w:p>
        </w:tc>
      </w:tr>
    </w:tbl>
    <w:p w:rsidR="002A0515" w:rsidRPr="00E30DEC" w:rsidRDefault="002A0515" w:rsidP="002A0515">
      <w:pPr>
        <w:spacing w:before="120" w:after="120"/>
        <w:ind w:leftChars="-283" w:left="-566"/>
        <w:rPr>
          <w:sz w:val="22"/>
        </w:rPr>
      </w:pPr>
    </w:p>
    <w:tbl>
      <w:tblPr>
        <w:tblStyle w:val="TableGrid"/>
        <w:tblW w:w="8840" w:type="dxa"/>
        <w:tblInd w:w="-459" w:type="dxa"/>
        <w:tblLayout w:type="fixed"/>
        <w:tblLook w:val="04A0" w:firstRow="1" w:lastRow="0" w:firstColumn="1" w:lastColumn="0" w:noHBand="0" w:noVBand="1"/>
      </w:tblPr>
      <w:tblGrid>
        <w:gridCol w:w="709"/>
        <w:gridCol w:w="8118"/>
        <w:gridCol w:w="13"/>
      </w:tblGrid>
      <w:tr w:rsidR="002A0515" w:rsidRPr="00E30DEC" w:rsidTr="00A54BE4">
        <w:trPr>
          <w:tblHeader/>
        </w:trPr>
        <w:tc>
          <w:tcPr>
            <w:tcW w:w="8840" w:type="dxa"/>
            <w:gridSpan w:val="3"/>
            <w:shd w:val="clear" w:color="auto" w:fill="BFBFBF" w:themeFill="background1" w:themeFillShade="BF"/>
          </w:tcPr>
          <w:p w:rsidR="002A0515" w:rsidRPr="00E30DEC" w:rsidRDefault="002A0515" w:rsidP="00A54BE4">
            <w:pPr>
              <w:spacing w:before="40" w:after="40"/>
              <w:jc w:val="both"/>
              <w:rPr>
                <w:rFonts w:eastAsiaTheme="minorEastAsia"/>
                <w:b/>
                <w:sz w:val="17"/>
                <w:szCs w:val="17"/>
                <w:lang w:eastAsia="en-GB"/>
              </w:rPr>
            </w:pPr>
            <w:r w:rsidRPr="00E30DEC">
              <w:rPr>
                <w:rFonts w:eastAsiaTheme="minorEastAsia"/>
                <w:b/>
                <w:sz w:val="17"/>
                <w:szCs w:val="17"/>
                <w:lang w:eastAsia="en-GB"/>
              </w:rPr>
              <w:t>Explanatory Note</w:t>
            </w:r>
          </w:p>
        </w:tc>
      </w:tr>
      <w:tr w:rsidR="002A0515" w:rsidRPr="00E30DEC" w:rsidTr="00A54BE4">
        <w:trPr>
          <w:trHeight w:val="373"/>
        </w:trPr>
        <w:tc>
          <w:tcPr>
            <w:tcW w:w="8840" w:type="dxa"/>
            <w:gridSpan w:val="3"/>
            <w:shd w:val="clear" w:color="auto" w:fill="F2F2F2" w:themeFill="background1" w:themeFillShade="F2"/>
          </w:tcPr>
          <w:p w:rsidR="002A0515" w:rsidRPr="00E30DEC" w:rsidRDefault="002A0515" w:rsidP="00A54BE4">
            <w:pPr>
              <w:pStyle w:val="TableNote"/>
              <w:spacing w:before="40" w:after="40"/>
              <w:rPr>
                <w:i/>
                <w:sz w:val="17"/>
                <w:szCs w:val="17"/>
              </w:rPr>
            </w:pPr>
            <w:r w:rsidRPr="00E30DEC">
              <w:rPr>
                <w:rFonts w:eastAsiaTheme="minorEastAsia"/>
                <w:b/>
                <w:sz w:val="17"/>
                <w:szCs w:val="17"/>
                <w:lang w:eastAsia="en-GB"/>
              </w:rPr>
              <w:t>Rows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pStyle w:val="TableNote"/>
              <w:spacing w:before="40" w:after="40"/>
              <w:rPr>
                <w:sz w:val="17"/>
                <w:szCs w:val="17"/>
              </w:rPr>
            </w:pPr>
            <w:r w:rsidRPr="00E30DEC">
              <w:rPr>
                <w:sz w:val="17"/>
                <w:szCs w:val="17"/>
              </w:rPr>
              <w:t>An AI should include all consolidated assets on balance sheet as per its financial statements, including collateral for on-balance sheet derivative contracts and for SFTs, with the exception of on-balance sheet derivative contracts and SFT assets that are included in rows 4 to 16.</w:t>
            </w:r>
            <w:r w:rsidRPr="00E30DEC">
              <w:t xml:space="preserve">  </w:t>
            </w:r>
            <w:r w:rsidRPr="00E30DEC">
              <w:rPr>
                <w:sz w:val="17"/>
                <w:szCs w:val="17"/>
              </w:rPr>
              <w:t>Where an AI is a note-issuing bank as defined under the Legal Tender Notes Issue Ordinance (Cap. 65), the AI’s on-balance sheet exposure should not include, for the purpose of this template, any certificates of indebtedness issued under the Exchange Fund Ordinance (Cap. 66) and held by the AI as cover for legal tender notes issued.</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rFonts w:cs="Segoe UI"/>
                <w:sz w:val="17"/>
                <w:szCs w:val="17"/>
              </w:rPr>
            </w:pPr>
            <w:r w:rsidRPr="00E30DEC">
              <w:rPr>
                <w:sz w:val="17"/>
                <w:szCs w:val="17"/>
              </w:rPr>
              <w:t>Adjustments to balance sheet assets due to deductions from Tier 1 capital in accordance with BCR §3</w:t>
            </w:r>
            <w:proofErr w:type="gramStart"/>
            <w:r w:rsidRPr="00E30DEC">
              <w:rPr>
                <w:sz w:val="17"/>
                <w:szCs w:val="17"/>
              </w:rPr>
              <w:t>ZB(</w:t>
            </w:r>
            <w:proofErr w:type="gramEnd"/>
            <w:r w:rsidRPr="00E30DEC">
              <w:rPr>
                <w:sz w:val="17"/>
                <w:szCs w:val="17"/>
              </w:rPr>
              <w:t>4).  For example:</w:t>
            </w:r>
          </w:p>
          <w:p w:rsidR="002A0515" w:rsidRPr="00421F6F" w:rsidRDefault="002A0515" w:rsidP="002A0515">
            <w:pPr>
              <w:pStyle w:val="ListParagraph"/>
              <w:keepLines/>
              <w:widowControl w:val="0"/>
              <w:numPr>
                <w:ilvl w:val="0"/>
                <w:numId w:val="63"/>
              </w:numPr>
              <w:spacing w:before="40" w:after="40"/>
              <w:ind w:leftChars="0" w:left="318" w:hanging="318"/>
              <w:jc w:val="both"/>
              <w:rPr>
                <w:rFonts w:cs="Segoe UI"/>
                <w:sz w:val="17"/>
              </w:rPr>
            </w:pPr>
            <w:r w:rsidRPr="00421F6F">
              <w:rPr>
                <w:rFonts w:cs="Segoe UI"/>
                <w:sz w:val="17"/>
              </w:rPr>
              <w:t>Where a financial sector entity is not included in the regulatory scope of consolidation, the amount of any investment in the capital of that entity that is totally or partially deducted from CET1 capital or from additional Tier 1 capital of the bank following the corresponding deduction approach, may be deducted from the exposure measure.</w:t>
            </w:r>
          </w:p>
          <w:p w:rsidR="002A0515" w:rsidRPr="00421F6F" w:rsidRDefault="002A0515" w:rsidP="002A0515">
            <w:pPr>
              <w:pStyle w:val="ListParagraph"/>
              <w:keepLines/>
              <w:widowControl w:val="0"/>
              <w:numPr>
                <w:ilvl w:val="0"/>
                <w:numId w:val="63"/>
              </w:numPr>
              <w:spacing w:before="40" w:after="40"/>
              <w:ind w:leftChars="0" w:left="318" w:hanging="318"/>
              <w:jc w:val="both"/>
              <w:rPr>
                <w:rFonts w:cs="Segoe UI"/>
                <w:sz w:val="17"/>
              </w:rPr>
            </w:pPr>
            <w:r w:rsidRPr="00421F6F">
              <w:rPr>
                <w:rFonts w:cs="Segoe UI"/>
                <w:sz w:val="17"/>
              </w:rPr>
              <w:t>For an AI using the IRB approach to determining capital requirements for credit risk, it is required any excess of the total expected loss over the total eligible provisions be deducted from CET1 capital.  The same amount may be deducted from the exposure measure.</w:t>
            </w:r>
          </w:p>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rFonts w:cs="Segoe UI"/>
                <w:sz w:val="17"/>
                <w:szCs w:val="17"/>
              </w:rPr>
              <w:t xml:space="preserve">As the adjustments in row 2 reduce </w:t>
            </w:r>
            <w:r w:rsidRPr="00E30DEC">
              <w:rPr>
                <w:sz w:val="17"/>
                <w:szCs w:val="17"/>
              </w:rPr>
              <w:t>the exposure measure, they should be reported as negative figures.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Sum of values in rows 1 and 2.</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rPr>
                <w:sz w:val="17"/>
                <w:szCs w:val="17"/>
              </w:rPr>
            </w:pPr>
            <w:r w:rsidRPr="00E30DEC">
              <w:rPr>
                <w:sz w:val="17"/>
                <w:szCs w:val="17"/>
              </w:rPr>
              <w:t xml:space="preserve">Replacement cost (“RC”) associated with all derivative contracts (including exposures resulting from direct transactions between a client and a CCP where the bank guarantees the performance of its clients’ derivative trade exposures to the CCP), net of cash variation margin received and with, where applicable, </w:t>
            </w:r>
            <w:r w:rsidRPr="00F63E51">
              <w:rPr>
                <w:sz w:val="17"/>
                <w:szCs w:val="17"/>
              </w:rPr>
              <w:t xml:space="preserve">bilateral netting under a </w:t>
            </w:r>
            <w:r>
              <w:rPr>
                <w:sz w:val="17"/>
                <w:szCs w:val="17"/>
              </w:rPr>
              <w:t xml:space="preserve">qualifying </w:t>
            </w:r>
            <w:r w:rsidRPr="00F63E51">
              <w:rPr>
                <w:sz w:val="17"/>
                <w:szCs w:val="17"/>
              </w:rPr>
              <w:t>bilateral netting agreement.</w:t>
            </w:r>
            <w:r w:rsidRPr="00E30DEC">
              <w:rPr>
                <w:sz w:val="17"/>
                <w:szCs w:val="17"/>
              </w:rPr>
              <w:t xml:space="preserve">  This amount should be reported </w:t>
            </w:r>
            <w:r>
              <w:rPr>
                <w:sz w:val="17"/>
                <w:szCs w:val="17"/>
              </w:rPr>
              <w:t xml:space="preserve">after applying the </w:t>
            </w:r>
            <w:r w:rsidRPr="00E30DEC">
              <w:rPr>
                <w:sz w:val="17"/>
                <w:szCs w:val="17"/>
              </w:rPr>
              <w:t xml:space="preserve">1.4 alpha factor. </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 xml:space="preserve">Add-on amount for the potential future exposure (“PFE”) of all exposures arising from derivative contracts.  This amount should be reported </w:t>
            </w:r>
            <w:r>
              <w:rPr>
                <w:sz w:val="17"/>
                <w:szCs w:val="17"/>
              </w:rPr>
              <w:t>after applying</w:t>
            </w:r>
            <w:r w:rsidRPr="00E30DEC">
              <w:rPr>
                <w:sz w:val="17"/>
                <w:szCs w:val="17"/>
              </w:rPr>
              <w:t xml:space="preserve"> the 1.4 alpha factor. </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Grossed-up amount of any collateral provided in relation to exposures arising from derivative contracts where the provision of that collateral has reduced the value of the balance sheet assets under the AI’s applicable accounting framework.</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Deductions of receivable assets in respect of cash variation margin provided under derivative contracts where the posting of cash variation margin has resulted in the recognition of a receivable asset under the AI’s applicable accounting framework.  As the adjustments in row 7 reduce the exposure measure, they should be reported as negative figures.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 xml:space="preserve">Exempted trade exposures associated with the CCP leg </w:t>
            </w:r>
            <w:r w:rsidRPr="00EC6E55">
              <w:rPr>
                <w:sz w:val="17"/>
                <w:szCs w:val="17"/>
              </w:rPr>
              <w:t>of derivative</w:t>
            </w:r>
            <w:r w:rsidRPr="00E30DEC">
              <w:rPr>
                <w:sz w:val="17"/>
                <w:szCs w:val="17"/>
              </w:rPr>
              <w:t xml:space="preserve"> contracts resulting from client-cleared transactions or which the clearing member, based on the contractual arrangements with the client, is not obligated to reimburse the client for any losses suffered due to changes in the value of its transactions in the event that a QCCP defaults.  As the adjustments in row 8 reduce the exposure measure, they should be reported as negative figures.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 xml:space="preserve">Adjustments relating to the effective notional amount of written </w:t>
            </w:r>
            <w:r>
              <w:rPr>
                <w:sz w:val="17"/>
                <w:szCs w:val="17"/>
              </w:rPr>
              <w:t>credit-related derivative</w:t>
            </w:r>
            <w:r w:rsidRPr="00E30DEC">
              <w:rPr>
                <w:sz w:val="17"/>
                <w:szCs w:val="17"/>
              </w:rPr>
              <w:t xml:space="preserve"> contracts, which may be reduced by the total amount of negative changes in fair value amounts that have been incorporated into the calculation of Tier 1 capital with respect to written </w:t>
            </w:r>
            <w:r>
              <w:rPr>
                <w:sz w:val="17"/>
                <w:szCs w:val="17"/>
              </w:rPr>
              <w:t>credit-related derivative</w:t>
            </w:r>
            <w:r w:rsidRPr="00E30DEC">
              <w:rPr>
                <w:sz w:val="17"/>
                <w:szCs w:val="17"/>
              </w:rPr>
              <w:t xml:space="preserve"> contracts.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rFonts w:cs="Segoe UI"/>
                <w:sz w:val="17"/>
                <w:szCs w:val="17"/>
              </w:rPr>
            </w:pPr>
            <w:r w:rsidRPr="00E30DEC">
              <w:rPr>
                <w:sz w:val="17"/>
                <w:szCs w:val="17"/>
              </w:rPr>
              <w:t>Adjustments relatin</w:t>
            </w:r>
            <w:r w:rsidRPr="00E30DEC">
              <w:rPr>
                <w:rFonts w:cs="Segoe UI"/>
                <w:sz w:val="17"/>
                <w:szCs w:val="17"/>
              </w:rPr>
              <w:t>g to:</w:t>
            </w:r>
          </w:p>
          <w:p w:rsidR="002A0515" w:rsidRPr="00E03AFC" w:rsidRDefault="002A0515" w:rsidP="002A0515">
            <w:pPr>
              <w:pStyle w:val="ListParagraph"/>
              <w:keepLines/>
              <w:widowControl w:val="0"/>
              <w:numPr>
                <w:ilvl w:val="0"/>
                <w:numId w:val="63"/>
              </w:numPr>
              <w:spacing w:before="40" w:after="40"/>
              <w:ind w:leftChars="0" w:left="318" w:hanging="318"/>
              <w:jc w:val="both"/>
              <w:rPr>
                <w:rFonts w:cs="Segoe UI"/>
                <w:sz w:val="17"/>
              </w:rPr>
            </w:pPr>
            <w:r w:rsidRPr="00E03AFC">
              <w:rPr>
                <w:rFonts w:cs="Segoe UI"/>
                <w:sz w:val="17"/>
              </w:rPr>
              <w:t>The amount by which the notional amount of a written credit</w:t>
            </w:r>
            <w:r w:rsidRPr="00E03AFC">
              <w:rPr>
                <w:rFonts w:cs="Segoe UI"/>
                <w:sz w:val="17"/>
                <w:szCs w:val="17"/>
              </w:rPr>
              <w:t>-related</w:t>
            </w:r>
            <w:r w:rsidRPr="00E03AFC">
              <w:rPr>
                <w:rFonts w:cs="Segoe UI"/>
                <w:sz w:val="17"/>
              </w:rPr>
              <w:t xml:space="preserve"> derivative is reduced by a purchased credit</w:t>
            </w:r>
            <w:r w:rsidRPr="00E03AFC">
              <w:rPr>
                <w:rFonts w:cs="Segoe UI"/>
                <w:sz w:val="17"/>
                <w:szCs w:val="17"/>
              </w:rPr>
              <w:t>-related</w:t>
            </w:r>
            <w:r w:rsidRPr="00E03AFC">
              <w:rPr>
                <w:rFonts w:cs="Segoe UI"/>
                <w:sz w:val="17"/>
              </w:rPr>
              <w:t xml:space="preserve"> derivative contract on the same reference name; and</w:t>
            </w:r>
          </w:p>
          <w:p w:rsidR="002A0515" w:rsidRPr="00B01815" w:rsidRDefault="002A0515" w:rsidP="002A0515">
            <w:pPr>
              <w:pStyle w:val="ListParagraph"/>
              <w:keepLines/>
              <w:widowControl w:val="0"/>
              <w:numPr>
                <w:ilvl w:val="0"/>
                <w:numId w:val="63"/>
              </w:numPr>
              <w:spacing w:before="40" w:after="40"/>
              <w:ind w:leftChars="0" w:left="318" w:hanging="318"/>
              <w:jc w:val="both"/>
              <w:rPr>
                <w:sz w:val="17"/>
              </w:rPr>
            </w:pPr>
            <w:r w:rsidRPr="00E03AFC">
              <w:rPr>
                <w:rFonts w:cs="Segoe UI"/>
                <w:sz w:val="17"/>
              </w:rPr>
              <w:t>The deduction of add-on amounts for PFE in relation to written credit</w:t>
            </w:r>
            <w:r w:rsidRPr="00E03AFC">
              <w:rPr>
                <w:rFonts w:cs="Segoe UI"/>
                <w:sz w:val="17"/>
                <w:szCs w:val="17"/>
              </w:rPr>
              <w:t>-related</w:t>
            </w:r>
            <w:r w:rsidRPr="00E03AFC">
              <w:rPr>
                <w:rFonts w:cs="Segoe UI"/>
                <w:sz w:val="17"/>
              </w:rPr>
              <w:t xml:space="preserve"> derivative contracts.</w:t>
            </w:r>
          </w:p>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rFonts w:cs="Segoe UI"/>
                <w:sz w:val="17"/>
                <w:szCs w:val="17"/>
              </w:rPr>
              <w:t>As the adjustments in row 1</w:t>
            </w:r>
            <w:r w:rsidRPr="00E30DEC">
              <w:rPr>
                <w:sz w:val="17"/>
                <w:szCs w:val="17"/>
              </w:rPr>
              <w:t>0 reduce the exposure measure, they should be reported as negative figures.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794"/>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Sum of values in rows 4 to 10.</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spacing w:before="40" w:after="40"/>
              <w:jc w:val="both"/>
              <w:rPr>
                <w:sz w:val="17"/>
                <w:szCs w:val="17"/>
              </w:rPr>
            </w:pPr>
            <w:r w:rsidRPr="00E30DEC">
              <w:rPr>
                <w:sz w:val="17"/>
                <w:szCs w:val="17"/>
              </w:rPr>
              <w:t xml:space="preserve">The gross amount of SFT assets without recognition of netting, other than novation with QCCPs (in which case the final contractual exposure is to replace the gross SFT assets amount), determined in accordance with the LR framework in respect of SFT exposures (e.g. excluding any securities received under an SFT where the AI has </w:t>
            </w:r>
            <w:proofErr w:type="spellStart"/>
            <w:r w:rsidRPr="00E30DEC">
              <w:rPr>
                <w:sz w:val="17"/>
                <w:szCs w:val="17"/>
              </w:rPr>
              <w:t>recognised</w:t>
            </w:r>
            <w:proofErr w:type="spellEnd"/>
            <w:r w:rsidRPr="00E30DEC">
              <w:rPr>
                <w:sz w:val="17"/>
                <w:szCs w:val="17"/>
              </w:rPr>
              <w:t xml:space="preserve"> the securities as an asset on its balance sheet), and adjusting for any sales accounting transactions.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Adjustments for cash payables and cash receivables of gross SFT assets with netting determined in accordance with the LR framework in respect of SFT exposures.  As these adjustments reduce the exposure measure, they should be reported as a negative figure.</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The amount of the counterparty credit risk add-on for SFTs determined in accordance with the LR framework in respect of SFT exposures.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The amount for which the AI acting as an agent in an SFT has provided an indemnity or guarantee determined in accordance with the LR framework in respect of SFT exposures.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Sum of values in rows 12 to 15.</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 xml:space="preserve">Total off-balance sheet exposure amounts (excluding off-balance sheet exposure amounts associated with SFT and derivative </w:t>
            </w:r>
            <w:r>
              <w:rPr>
                <w:sz w:val="17"/>
                <w:szCs w:val="17"/>
              </w:rPr>
              <w:t>contracts</w:t>
            </w:r>
            <w:r w:rsidRPr="00E30DEC">
              <w:rPr>
                <w:sz w:val="17"/>
                <w:szCs w:val="17"/>
              </w:rPr>
              <w:t>) on a gross notional basis, before any adjustment for credit conversion factors (“CCFs”).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Reduction in gross amount of off-balance sheet exposures due to the application of CCFs.  This corresponds to the complement of CCFs of the STC approach, subject to a floor of 10%.  The floor of 10% will affect commitments that are unconditionally cancellable at any time by the AI without prior notice, or that effectively provide for automatic cancellation due to deterioration in a borrower’s creditworthiness.  As these adjustments reduce the exposure measure, they should be reported as negative figures.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spacing w:before="40" w:after="40"/>
              <w:jc w:val="both"/>
              <w:rPr>
                <w:sz w:val="17"/>
                <w:szCs w:val="17"/>
              </w:rPr>
            </w:pPr>
            <w:r w:rsidRPr="00E30DEC">
              <w:rPr>
                <w:sz w:val="17"/>
                <w:szCs w:val="17"/>
              </w:rPr>
              <w:t>Sum of values in rows 17 and 18.</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keepLines/>
              <w:widowControl w:val="0"/>
              <w:tabs>
                <w:tab w:val="left" w:pos="150"/>
                <w:tab w:val="left" w:pos="397"/>
                <w:tab w:val="left" w:pos="794"/>
                <w:tab w:val="left" w:pos="1191"/>
              </w:tabs>
              <w:spacing w:before="40" w:after="40"/>
              <w:jc w:val="both"/>
              <w:rPr>
                <w:sz w:val="17"/>
                <w:szCs w:val="17"/>
              </w:rPr>
            </w:pPr>
            <w:r w:rsidRPr="00E30DEC">
              <w:rPr>
                <w:sz w:val="17"/>
                <w:szCs w:val="17"/>
              </w:rPr>
              <w:t>The amount of Tier 1 capital as determined under the BCR, taking into account of the transitional arrangements.  The value in [LR2:20/a] is equal to the value in [KM1:2/a].</w:t>
            </w:r>
          </w:p>
        </w:tc>
      </w:tr>
      <w:tr w:rsidR="002A0515" w:rsidRPr="00A500AF" w:rsidTr="00A54BE4">
        <w:trPr>
          <w:gridAfter w:val="1"/>
          <w:wAfter w:w="13" w:type="dxa"/>
          <w:trHeight w:val="373"/>
        </w:trPr>
        <w:tc>
          <w:tcPr>
            <w:tcW w:w="709" w:type="dxa"/>
          </w:tcPr>
          <w:p w:rsidR="002A0515" w:rsidRPr="00A500AF" w:rsidRDefault="002A0515" w:rsidP="00A54BE4">
            <w:pPr>
              <w:keepLines/>
              <w:tabs>
                <w:tab w:val="left" w:pos="150"/>
                <w:tab w:val="left" w:pos="397"/>
                <w:tab w:val="left" w:pos="480"/>
                <w:tab w:val="left" w:pos="1191"/>
              </w:tabs>
              <w:spacing w:before="40" w:after="40"/>
              <w:rPr>
                <w:rFonts w:asciiTheme="minorHAnsi" w:hAnsiTheme="minorHAnsi" w:cstheme="minorHAnsi"/>
                <w:sz w:val="17"/>
                <w:szCs w:val="17"/>
                <w:lang w:eastAsia="en-GB"/>
              </w:rPr>
            </w:pPr>
            <w:r>
              <w:rPr>
                <w:rFonts w:cs="Segoe UI"/>
                <w:sz w:val="17"/>
                <w:szCs w:val="17"/>
                <w:lang w:eastAsia="en-GB"/>
              </w:rPr>
              <w:t xml:space="preserve"> </w:t>
            </w:r>
            <w:r>
              <w:rPr>
                <w:rFonts w:asciiTheme="minorHAnsi" w:hAnsiTheme="minorHAnsi" w:cstheme="minorHAnsi"/>
                <w:sz w:val="17"/>
                <w:szCs w:val="17"/>
                <w:lang w:eastAsia="en-GB"/>
              </w:rPr>
              <w:t>20a</w:t>
            </w:r>
          </w:p>
        </w:tc>
        <w:tc>
          <w:tcPr>
            <w:tcW w:w="8118" w:type="dxa"/>
          </w:tcPr>
          <w:p w:rsidR="002A0515" w:rsidRPr="00A500AF" w:rsidRDefault="002A0515" w:rsidP="00A54BE4">
            <w:pPr>
              <w:keepLines/>
              <w:tabs>
                <w:tab w:val="left" w:pos="150"/>
                <w:tab w:val="left" w:pos="397"/>
                <w:tab w:val="left" w:pos="465"/>
                <w:tab w:val="left" w:pos="1191"/>
              </w:tabs>
              <w:spacing w:before="40" w:after="40"/>
              <w:rPr>
                <w:rFonts w:cs="Segoe UI"/>
                <w:sz w:val="17"/>
                <w:szCs w:val="17"/>
                <w:lang w:eastAsia="en-GB"/>
              </w:rPr>
            </w:pPr>
            <w:r w:rsidRPr="00A500AF">
              <w:rPr>
                <w:rFonts w:cs="Segoe UI"/>
                <w:sz w:val="17"/>
                <w:szCs w:val="17"/>
                <w:lang w:eastAsia="en-GB"/>
              </w:rPr>
              <w:t>Sum of values in rows 3, 11, 16 and 19.</w:t>
            </w:r>
          </w:p>
        </w:tc>
      </w:tr>
      <w:tr w:rsidR="002A0515" w:rsidRPr="00E30DEC" w:rsidTr="00A54BE4">
        <w:trPr>
          <w:gridAfter w:val="1"/>
          <w:wAfter w:w="13" w:type="dxa"/>
          <w:trHeight w:val="373"/>
        </w:trPr>
        <w:tc>
          <w:tcPr>
            <w:tcW w:w="709" w:type="dxa"/>
          </w:tcPr>
          <w:p w:rsidR="002A0515" w:rsidRPr="00A500AF" w:rsidRDefault="002A0515" w:rsidP="00A54BE4">
            <w:pPr>
              <w:keepLines/>
              <w:tabs>
                <w:tab w:val="left" w:pos="150"/>
                <w:tab w:val="left" w:pos="480"/>
                <w:tab w:val="left" w:pos="1191"/>
              </w:tabs>
              <w:spacing w:before="40" w:after="40"/>
              <w:rPr>
                <w:rFonts w:asciiTheme="minorHAnsi" w:hAnsiTheme="minorHAnsi" w:cstheme="minorHAnsi"/>
                <w:sz w:val="17"/>
                <w:szCs w:val="17"/>
                <w:lang w:eastAsia="en-GB"/>
              </w:rPr>
            </w:pPr>
            <w:r>
              <w:rPr>
                <w:rFonts w:asciiTheme="minorHAnsi" w:hAnsiTheme="minorHAnsi" w:cstheme="minorHAnsi"/>
                <w:sz w:val="17"/>
                <w:szCs w:val="17"/>
                <w:lang w:eastAsia="en-GB"/>
              </w:rPr>
              <w:t xml:space="preserve"> </w:t>
            </w:r>
            <w:r w:rsidRPr="00A500AF">
              <w:rPr>
                <w:rFonts w:asciiTheme="minorHAnsi" w:hAnsiTheme="minorHAnsi" w:cstheme="minorHAnsi"/>
                <w:sz w:val="17"/>
                <w:szCs w:val="17"/>
                <w:lang w:eastAsia="en-GB"/>
              </w:rPr>
              <w:t>20b</w:t>
            </w:r>
            <w:r w:rsidRPr="00A500AF" w:rsidDel="00251608">
              <w:rPr>
                <w:rFonts w:asciiTheme="minorHAnsi" w:hAnsiTheme="minorHAnsi" w:cstheme="minorHAnsi"/>
                <w:sz w:val="17"/>
                <w:szCs w:val="17"/>
                <w:lang w:eastAsia="en-GB"/>
              </w:rPr>
              <w:t xml:space="preserve"> </w:t>
            </w:r>
          </w:p>
        </w:tc>
        <w:tc>
          <w:tcPr>
            <w:tcW w:w="8118" w:type="dxa"/>
          </w:tcPr>
          <w:p w:rsidR="002A0515" w:rsidRPr="00B01815" w:rsidRDefault="002A0515" w:rsidP="00A54BE4">
            <w:pPr>
              <w:keepLines/>
              <w:widowControl w:val="0"/>
              <w:tabs>
                <w:tab w:val="left" w:pos="150"/>
                <w:tab w:val="left" w:pos="397"/>
                <w:tab w:val="left" w:pos="794"/>
                <w:tab w:val="left" w:pos="1191"/>
              </w:tabs>
              <w:spacing w:before="40" w:after="40"/>
              <w:jc w:val="both"/>
              <w:rPr>
                <w:rFonts w:eastAsiaTheme="minorEastAsia"/>
                <w:i/>
              </w:rPr>
            </w:pPr>
            <w:r w:rsidRPr="00E30DEC">
              <w:rPr>
                <w:sz w:val="17"/>
                <w:szCs w:val="17"/>
              </w:rPr>
              <w:t>Specific and collective provisions, if any, that reduce the on- and off-balance sheet exposure measures may be presented in this row, provided that such reductions from exposure measures are allowable under Part 1C of the BCR.  As these adjustments reduce the exposure measure, they should be reported as negative figures.</w:t>
            </w:r>
          </w:p>
        </w:tc>
      </w:tr>
      <w:tr w:rsidR="002A0515" w:rsidRPr="00E30DEC"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E30DEC" w:rsidRDefault="002A0515" w:rsidP="00A54BE4">
            <w:pPr>
              <w:pStyle w:val="TableNote"/>
              <w:spacing w:before="40" w:after="40"/>
              <w:rPr>
                <w:sz w:val="17"/>
                <w:szCs w:val="17"/>
              </w:rPr>
            </w:pPr>
            <w:r w:rsidRPr="00E30DEC">
              <w:rPr>
                <w:sz w:val="17"/>
                <w:szCs w:val="17"/>
              </w:rPr>
              <w:t xml:space="preserve">Sum of values in rows 20a and 20b.  The value in [LR2:21/a] is equal to the value in [KM1:13/a] and in [LR1: </w:t>
            </w:r>
            <w:r>
              <w:rPr>
                <w:sz w:val="17"/>
                <w:szCs w:val="17"/>
              </w:rPr>
              <w:t>8</w:t>
            </w:r>
            <w:r w:rsidRPr="0031236D">
              <w:rPr>
                <w:sz w:val="17"/>
                <w:szCs w:val="17"/>
              </w:rPr>
              <w:t>/a</w:t>
            </w:r>
            <w:r w:rsidRPr="00E30DEC">
              <w:rPr>
                <w:sz w:val="17"/>
                <w:szCs w:val="17"/>
              </w:rPr>
              <w:t>].</w:t>
            </w:r>
          </w:p>
        </w:tc>
      </w:tr>
      <w:tr w:rsidR="002A0515" w:rsidRPr="00280717" w:rsidTr="00A54BE4">
        <w:trPr>
          <w:gridAfter w:val="1"/>
          <w:wAfter w:w="13" w:type="dxa"/>
          <w:trHeight w:val="373"/>
        </w:trPr>
        <w:tc>
          <w:tcPr>
            <w:tcW w:w="709" w:type="dxa"/>
          </w:tcPr>
          <w:p w:rsidR="002A0515" w:rsidRPr="00E30DEC" w:rsidRDefault="002A0515" w:rsidP="002A0515">
            <w:pPr>
              <w:pStyle w:val="ListParagraph"/>
              <w:keepLines/>
              <w:widowControl w:val="0"/>
              <w:numPr>
                <w:ilvl w:val="0"/>
                <w:numId w:val="90"/>
              </w:numPr>
              <w:tabs>
                <w:tab w:val="left" w:pos="150"/>
                <w:tab w:val="left" w:pos="397"/>
                <w:tab w:val="left" w:pos="465"/>
                <w:tab w:val="left" w:pos="1191"/>
              </w:tabs>
              <w:spacing w:before="40" w:after="40"/>
              <w:ind w:leftChars="0"/>
              <w:rPr>
                <w:rFonts w:cs="Segoe UI"/>
                <w:sz w:val="17"/>
                <w:szCs w:val="17"/>
                <w:lang w:eastAsia="en-GB"/>
              </w:rPr>
            </w:pPr>
          </w:p>
        </w:tc>
        <w:tc>
          <w:tcPr>
            <w:tcW w:w="8118" w:type="dxa"/>
          </w:tcPr>
          <w:p w:rsidR="002A0515" w:rsidRPr="002E0D1C" w:rsidRDefault="002A0515" w:rsidP="00A54BE4">
            <w:pPr>
              <w:pStyle w:val="TableNote"/>
              <w:spacing w:before="40" w:after="40"/>
              <w:rPr>
                <w:sz w:val="17"/>
                <w:szCs w:val="17"/>
              </w:rPr>
            </w:pPr>
            <w:r w:rsidRPr="00E30DEC">
              <w:rPr>
                <w:sz w:val="17"/>
                <w:szCs w:val="17"/>
              </w:rPr>
              <w:t>Leverage ratio is defined as the Tier 1 capital measure of row 20 (the numerator) divided by the exposure measure of row 21 (the denominator), where the resultant quotient be expressed as a percentage.  The value in [LR2:22/a] is equal to the value in [KM1:14/a].</w:t>
            </w:r>
          </w:p>
        </w:tc>
      </w:tr>
    </w:tbl>
    <w:p w:rsidR="002A0515" w:rsidRPr="00BE581F" w:rsidRDefault="002A0515" w:rsidP="002A0515"/>
    <w:p w:rsidR="002A0515" w:rsidRDefault="002A0515" w:rsidP="002A0515">
      <w:pPr>
        <w:keepNext/>
        <w:keepLines/>
        <w:tabs>
          <w:tab w:val="left" w:pos="426"/>
        </w:tabs>
        <w:spacing w:after="360"/>
        <w:ind w:rightChars="-142" w:right="-284"/>
        <w:outlineLvl w:val="0"/>
        <w:sectPr w:rsidR="002A0515" w:rsidSect="00A54BE4">
          <w:footerReference w:type="default" r:id="rId17"/>
          <w:type w:val="continuous"/>
          <w:pgSz w:w="11906" w:h="16838"/>
          <w:pgMar w:top="1440" w:right="1800" w:bottom="993" w:left="1800" w:header="851" w:footer="1260" w:gutter="0"/>
          <w:cols w:space="425"/>
          <w:docGrid w:type="lines" w:linePitch="360"/>
        </w:sectPr>
      </w:pPr>
    </w:p>
    <w:p w:rsidR="002A0515" w:rsidRPr="001449B5" w:rsidRDefault="002A0515" w:rsidP="002A0515">
      <w:pPr>
        <w:keepNext/>
        <w:keepLines/>
        <w:tabs>
          <w:tab w:val="left" w:pos="567"/>
        </w:tabs>
        <w:spacing w:after="360"/>
        <w:ind w:leftChars="-283" w:left="-566" w:rightChars="-142" w:right="-284"/>
        <w:outlineLvl w:val="0"/>
        <w:rPr>
          <w:color w:val="C00000"/>
          <w:sz w:val="28"/>
          <w:szCs w:val="28"/>
        </w:rPr>
      </w:pPr>
      <w:r w:rsidRPr="001449B5">
        <w:rPr>
          <w:color w:val="C00000"/>
          <w:sz w:val="28"/>
          <w:szCs w:val="28"/>
        </w:rPr>
        <w:t>Part IID:</w:t>
      </w:r>
      <w:r w:rsidRPr="001449B5">
        <w:rPr>
          <w:color w:val="C00000"/>
          <w:sz w:val="28"/>
          <w:szCs w:val="28"/>
        </w:rPr>
        <w:tab/>
        <w:t>Liquidity</w:t>
      </w:r>
    </w:p>
    <w:tbl>
      <w:tblPr>
        <w:tblW w:w="9101" w:type="dxa"/>
        <w:tblInd w:w="-3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86"/>
        <w:gridCol w:w="7115"/>
      </w:tblGrid>
      <w:tr w:rsidR="002A0515" w:rsidRPr="0023654F" w:rsidTr="00A54BE4">
        <w:tc>
          <w:tcPr>
            <w:tcW w:w="9101" w:type="dxa"/>
            <w:gridSpan w:val="2"/>
            <w:tcBorders>
              <w:top w:val="nil"/>
            </w:tcBorders>
          </w:tcPr>
          <w:p w:rsidR="002A0515" w:rsidRPr="0023654F" w:rsidRDefault="002A0515" w:rsidP="00A54BE4">
            <w:pPr>
              <w:spacing w:before="40" w:after="40"/>
              <w:jc w:val="both"/>
              <w:rPr>
                <w:noProof/>
                <w:sz w:val="17"/>
                <w:lang w:eastAsia="en-GB"/>
              </w:rPr>
            </w:pPr>
            <w:r w:rsidRPr="0023654F">
              <w:rPr>
                <w:sz w:val="22"/>
              </w:rPr>
              <w:t xml:space="preserve">Template </w:t>
            </w:r>
            <w:r>
              <w:rPr>
                <w:sz w:val="22"/>
              </w:rPr>
              <w:t>LIQ2</w:t>
            </w:r>
            <w:r w:rsidRPr="0023654F">
              <w:rPr>
                <w:sz w:val="22"/>
              </w:rPr>
              <w:t xml:space="preserve">: </w:t>
            </w:r>
            <w:r>
              <w:rPr>
                <w:sz w:val="22"/>
              </w:rPr>
              <w:t>Net Stable Funding Ratio – for category 1 institution</w:t>
            </w:r>
          </w:p>
        </w:tc>
      </w:tr>
      <w:tr w:rsidR="002A0515" w:rsidRPr="0046600C" w:rsidTr="00A54BE4">
        <w:tc>
          <w:tcPr>
            <w:tcW w:w="1986" w:type="dxa"/>
          </w:tcPr>
          <w:p w:rsidR="002A0515" w:rsidRPr="0023654F" w:rsidRDefault="002A0515" w:rsidP="00A54BE4">
            <w:pPr>
              <w:spacing w:before="40" w:after="40"/>
              <w:rPr>
                <w:noProof/>
                <w:sz w:val="17"/>
                <w:lang w:eastAsia="en-GB"/>
              </w:rPr>
            </w:pPr>
            <w:r w:rsidRPr="0023654F">
              <w:rPr>
                <w:b/>
                <w:sz w:val="17"/>
                <w:lang w:eastAsia="en-GB"/>
              </w:rPr>
              <w:t>Purpose:</w:t>
            </w:r>
            <w:r w:rsidRPr="0023654F">
              <w:rPr>
                <w:sz w:val="17"/>
                <w:lang w:eastAsia="en-GB"/>
              </w:rPr>
              <w:t xml:space="preserve"> </w:t>
            </w:r>
          </w:p>
        </w:tc>
        <w:tc>
          <w:tcPr>
            <w:tcW w:w="7115" w:type="dxa"/>
          </w:tcPr>
          <w:p w:rsidR="002A0515" w:rsidRPr="00F0052E" w:rsidRDefault="002A0515" w:rsidP="00A54BE4">
            <w:pPr>
              <w:pStyle w:val="TableText"/>
              <w:jc w:val="both"/>
              <w:rPr>
                <w:lang w:val="en-US" w:eastAsia="en-GB"/>
              </w:rPr>
            </w:pPr>
            <w:r w:rsidRPr="0023654F">
              <w:rPr>
                <w:lang w:eastAsia="en-GB"/>
              </w:rPr>
              <w:t>T</w:t>
            </w:r>
            <w:r>
              <w:rPr>
                <w:lang w:eastAsia="en-GB"/>
              </w:rPr>
              <w:t>o</w:t>
            </w:r>
            <w:r w:rsidRPr="0023654F">
              <w:rPr>
                <w:lang w:eastAsia="en-GB"/>
              </w:rPr>
              <w:t xml:space="preserve"> </w:t>
            </w:r>
            <w:r w:rsidRPr="00F0052E">
              <w:rPr>
                <w:lang w:eastAsia="en-GB"/>
              </w:rPr>
              <w:t xml:space="preserve">provide details of NSFR and details of </w:t>
            </w:r>
            <w:r>
              <w:rPr>
                <w:lang w:eastAsia="en-GB"/>
              </w:rPr>
              <w:t>ASF and RSF</w:t>
            </w:r>
            <w:r w:rsidRPr="00F0052E">
              <w:rPr>
                <w:lang w:eastAsia="en-GB"/>
              </w:rPr>
              <w:t xml:space="preserve"> components.</w:t>
            </w:r>
          </w:p>
        </w:tc>
      </w:tr>
      <w:tr w:rsidR="002A0515" w:rsidRPr="005B71C7" w:rsidTr="00A54BE4">
        <w:tc>
          <w:tcPr>
            <w:tcW w:w="1986" w:type="dxa"/>
          </w:tcPr>
          <w:p w:rsidR="002A0515" w:rsidRPr="0023654F" w:rsidRDefault="002A0515" w:rsidP="00A54BE4">
            <w:pPr>
              <w:spacing w:before="40" w:after="40"/>
              <w:rPr>
                <w:b/>
                <w:sz w:val="17"/>
                <w:lang w:eastAsia="en-GB"/>
              </w:rPr>
            </w:pPr>
            <w:r w:rsidRPr="0023654F">
              <w:rPr>
                <w:b/>
                <w:sz w:val="17"/>
                <w:lang w:eastAsia="en-GB"/>
              </w:rPr>
              <w:t xml:space="preserve">Scope of application: </w:t>
            </w:r>
          </w:p>
        </w:tc>
        <w:tc>
          <w:tcPr>
            <w:tcW w:w="7115" w:type="dxa"/>
          </w:tcPr>
          <w:p w:rsidR="002A0515" w:rsidRPr="001F60AE" w:rsidRDefault="002A0515" w:rsidP="00A54BE4">
            <w:pPr>
              <w:pStyle w:val="TableText"/>
              <w:jc w:val="both"/>
              <w:rPr>
                <w:szCs w:val="17"/>
              </w:rPr>
            </w:pPr>
            <w:r>
              <w:rPr>
                <w:szCs w:val="17"/>
              </w:rPr>
              <w:t xml:space="preserve">The template is mandatory for locally incorporated and overseas incorporated AIs that are designated as category 1 institution.  </w:t>
            </w:r>
            <w:r w:rsidRPr="001F60AE">
              <w:rPr>
                <w:szCs w:val="17"/>
              </w:rPr>
              <w:t xml:space="preserve">A category 1 institution </w:t>
            </w:r>
            <w:r>
              <w:rPr>
                <w:szCs w:val="17"/>
              </w:rPr>
              <w:t>should</w:t>
            </w:r>
            <w:r w:rsidRPr="001F60AE">
              <w:rPr>
                <w:szCs w:val="17"/>
              </w:rPr>
              <w:t xml:space="preserve"> disclose the required items in th</w:t>
            </w:r>
            <w:r>
              <w:rPr>
                <w:szCs w:val="17"/>
              </w:rPr>
              <w:t>is</w:t>
            </w:r>
            <w:r w:rsidRPr="001F60AE">
              <w:rPr>
                <w:szCs w:val="17"/>
              </w:rPr>
              <w:t xml:space="preserve"> </w:t>
            </w:r>
            <w:r>
              <w:rPr>
                <w:szCs w:val="17"/>
              </w:rPr>
              <w:t>t</w:t>
            </w:r>
            <w:r w:rsidRPr="001F60AE">
              <w:rPr>
                <w:szCs w:val="17"/>
              </w:rPr>
              <w:t xml:space="preserve">emplate </w:t>
            </w:r>
            <w:proofErr w:type="gramStart"/>
            <w:r w:rsidRPr="001F60AE">
              <w:rPr>
                <w:szCs w:val="17"/>
              </w:rPr>
              <w:t>on</w:t>
            </w:r>
            <w:r>
              <w:rPr>
                <w:szCs w:val="17"/>
              </w:rPr>
              <w:t>:</w:t>
            </w:r>
            <w:r w:rsidRPr="001F60AE">
              <w:rPr>
                <w:szCs w:val="17"/>
              </w:rPr>
              <w:t>-</w:t>
            </w:r>
            <w:proofErr w:type="gramEnd"/>
          </w:p>
          <w:p w:rsidR="002A0515" w:rsidRPr="000B03B8" w:rsidRDefault="002A0515" w:rsidP="002A0515">
            <w:pPr>
              <w:pStyle w:val="TableText"/>
              <w:numPr>
                <w:ilvl w:val="0"/>
                <w:numId w:val="83"/>
              </w:numPr>
              <w:tabs>
                <w:tab w:val="left" w:pos="436"/>
              </w:tabs>
              <w:ind w:left="459" w:hanging="459"/>
              <w:jc w:val="both"/>
              <w:rPr>
                <w:szCs w:val="17"/>
              </w:rPr>
            </w:pPr>
            <w:r w:rsidRPr="000B03B8">
              <w:rPr>
                <w:szCs w:val="17"/>
              </w:rPr>
              <w:t xml:space="preserve">a consolidated basis – applicable to a category 1 institution incorporated in Hong Kong that is subject to BLR rule </w:t>
            </w:r>
            <w:r w:rsidRPr="00F0762B">
              <w:rPr>
                <w:szCs w:val="17"/>
              </w:rPr>
              <w:t>11(1)</w:t>
            </w:r>
            <w:r w:rsidRPr="000B03B8">
              <w:rPr>
                <w:szCs w:val="17"/>
              </w:rPr>
              <w:t>;</w:t>
            </w:r>
          </w:p>
          <w:p w:rsidR="002A0515" w:rsidRPr="000B03B8" w:rsidRDefault="002A0515" w:rsidP="002A0515">
            <w:pPr>
              <w:pStyle w:val="TableText"/>
              <w:numPr>
                <w:ilvl w:val="0"/>
                <w:numId w:val="83"/>
              </w:numPr>
              <w:tabs>
                <w:tab w:val="left" w:pos="436"/>
              </w:tabs>
              <w:ind w:left="459" w:hanging="459"/>
              <w:jc w:val="both"/>
              <w:rPr>
                <w:szCs w:val="17"/>
              </w:rPr>
            </w:pPr>
            <w:r w:rsidRPr="000B03B8">
              <w:rPr>
                <w:szCs w:val="17"/>
              </w:rPr>
              <w:t xml:space="preserve">an unconsolidated basis – applicable to a category 1 institution incorporated in Hong Kong that is </w:t>
            </w:r>
            <w:r>
              <w:rPr>
                <w:szCs w:val="17"/>
              </w:rPr>
              <w:t xml:space="preserve">not subject to BLR rule 11(1) but </w:t>
            </w:r>
            <w:r w:rsidRPr="000B03B8">
              <w:rPr>
                <w:szCs w:val="17"/>
              </w:rPr>
              <w:t xml:space="preserve">subject to BLR rule </w:t>
            </w:r>
            <w:r w:rsidRPr="00F0762B">
              <w:rPr>
                <w:szCs w:val="17"/>
              </w:rPr>
              <w:t>10(1)(b)</w:t>
            </w:r>
            <w:r w:rsidRPr="000B03B8">
              <w:rPr>
                <w:szCs w:val="17"/>
              </w:rPr>
              <w:t>; or</w:t>
            </w:r>
          </w:p>
          <w:p w:rsidR="002A0515" w:rsidRDefault="002A0515" w:rsidP="002A0515">
            <w:pPr>
              <w:pStyle w:val="TableText"/>
              <w:numPr>
                <w:ilvl w:val="0"/>
                <w:numId w:val="83"/>
              </w:numPr>
              <w:tabs>
                <w:tab w:val="left" w:pos="436"/>
              </w:tabs>
              <w:ind w:left="459" w:hanging="459"/>
              <w:jc w:val="both"/>
              <w:rPr>
                <w:szCs w:val="17"/>
              </w:rPr>
            </w:pPr>
            <w:r w:rsidRPr="000B03B8">
              <w:rPr>
                <w:szCs w:val="17"/>
              </w:rPr>
              <w:t xml:space="preserve">a Hong Kong office basis – applicable to a category 1 </w:t>
            </w:r>
            <w:proofErr w:type="gramStart"/>
            <w:r w:rsidRPr="000B03B8">
              <w:rPr>
                <w:szCs w:val="17"/>
              </w:rPr>
              <w:t>institution</w:t>
            </w:r>
            <w:r>
              <w:rPr>
                <w:szCs w:val="17"/>
              </w:rPr>
              <w:t>:-</w:t>
            </w:r>
            <w:proofErr w:type="gramEnd"/>
          </w:p>
          <w:p w:rsidR="002A0515" w:rsidRDefault="002A0515" w:rsidP="002A0515">
            <w:pPr>
              <w:pStyle w:val="TableText"/>
              <w:numPr>
                <w:ilvl w:val="1"/>
                <w:numId w:val="68"/>
              </w:numPr>
              <w:tabs>
                <w:tab w:val="left" w:pos="436"/>
              </w:tabs>
              <w:ind w:left="884" w:hanging="425"/>
              <w:jc w:val="both"/>
              <w:rPr>
                <w:szCs w:val="17"/>
              </w:rPr>
            </w:pPr>
            <w:r w:rsidRPr="000B03B8">
              <w:rPr>
                <w:szCs w:val="17"/>
              </w:rPr>
              <w:t>incorporated in Hong Kong that</w:t>
            </w:r>
            <w:r w:rsidRPr="001F60AE">
              <w:rPr>
                <w:szCs w:val="17"/>
              </w:rPr>
              <w:t xml:space="preserve"> </w:t>
            </w:r>
            <w:r>
              <w:rPr>
                <w:szCs w:val="17"/>
              </w:rPr>
              <w:t>is not subject to BLR rule 10(1)(b) or 11 but subject to BLR rule 10(1)(a)</w:t>
            </w:r>
            <w:r w:rsidRPr="000B03B8">
              <w:rPr>
                <w:szCs w:val="17"/>
              </w:rPr>
              <w:t>; and</w:t>
            </w:r>
          </w:p>
          <w:p w:rsidR="002A0515" w:rsidRPr="000B03B8" w:rsidRDefault="002A0515" w:rsidP="002A0515">
            <w:pPr>
              <w:pStyle w:val="TableText"/>
              <w:numPr>
                <w:ilvl w:val="1"/>
                <w:numId w:val="68"/>
              </w:numPr>
              <w:tabs>
                <w:tab w:val="left" w:pos="436"/>
              </w:tabs>
              <w:ind w:left="884" w:hanging="425"/>
              <w:jc w:val="both"/>
              <w:rPr>
                <w:szCs w:val="17"/>
              </w:rPr>
            </w:pPr>
            <w:r>
              <w:rPr>
                <w:szCs w:val="17"/>
              </w:rPr>
              <w:t xml:space="preserve">incorporated </w:t>
            </w:r>
            <w:r w:rsidRPr="000B03B8">
              <w:rPr>
                <w:szCs w:val="17"/>
              </w:rPr>
              <w:t>outside Hong Kong</w:t>
            </w:r>
            <w:r>
              <w:rPr>
                <w:szCs w:val="17"/>
              </w:rPr>
              <w:t xml:space="preserve"> that is subject to BLR rule 10(1)(a)</w:t>
            </w:r>
            <w:r w:rsidRPr="000B03B8">
              <w:rPr>
                <w:szCs w:val="17"/>
              </w:rPr>
              <w:t>.</w:t>
            </w:r>
          </w:p>
          <w:p w:rsidR="002A0515" w:rsidRPr="0046600C" w:rsidRDefault="002A0515" w:rsidP="00A54BE4">
            <w:pPr>
              <w:pStyle w:val="TableText"/>
              <w:jc w:val="both"/>
              <w:rPr>
                <w:rFonts w:eastAsiaTheme="minorEastAsia"/>
                <w:b/>
                <w:lang w:val="en-US" w:eastAsia="en-GB"/>
              </w:rPr>
            </w:pPr>
            <w:r w:rsidRPr="001F60AE">
              <w:rPr>
                <w:szCs w:val="17"/>
              </w:rPr>
              <w:t xml:space="preserve">A category 1 institution </w:t>
            </w:r>
            <w:r>
              <w:rPr>
                <w:szCs w:val="17"/>
              </w:rPr>
              <w:t>should</w:t>
            </w:r>
            <w:r w:rsidRPr="001F60AE">
              <w:rPr>
                <w:szCs w:val="17"/>
              </w:rPr>
              <w:t xml:space="preserve"> indicate the basis on which the required disclosure items in th</w:t>
            </w:r>
            <w:r>
              <w:rPr>
                <w:szCs w:val="17"/>
              </w:rPr>
              <w:t>is</w:t>
            </w:r>
            <w:r w:rsidRPr="001F60AE">
              <w:rPr>
                <w:szCs w:val="17"/>
              </w:rPr>
              <w:t xml:space="preserve"> </w:t>
            </w:r>
            <w:r>
              <w:rPr>
                <w:szCs w:val="17"/>
              </w:rPr>
              <w:t>t</w:t>
            </w:r>
            <w:r w:rsidRPr="001F60AE">
              <w:rPr>
                <w:szCs w:val="17"/>
              </w:rPr>
              <w:t>emplate are disclosed.</w:t>
            </w:r>
          </w:p>
        </w:tc>
      </w:tr>
      <w:tr w:rsidR="002A0515" w:rsidRPr="004B58B9" w:rsidTr="00A54BE4">
        <w:tc>
          <w:tcPr>
            <w:tcW w:w="1986" w:type="dxa"/>
          </w:tcPr>
          <w:p w:rsidR="002A0515" w:rsidRPr="0023654F" w:rsidRDefault="002A0515" w:rsidP="00A54BE4">
            <w:pPr>
              <w:spacing w:before="40" w:after="40"/>
              <w:rPr>
                <w:b/>
                <w:sz w:val="17"/>
                <w:lang w:eastAsia="en-GB"/>
              </w:rPr>
            </w:pPr>
            <w:r w:rsidRPr="0023654F">
              <w:rPr>
                <w:b/>
                <w:sz w:val="17"/>
                <w:lang w:eastAsia="en-GB"/>
              </w:rPr>
              <w:t xml:space="preserve">Content: </w:t>
            </w:r>
          </w:p>
        </w:tc>
        <w:tc>
          <w:tcPr>
            <w:tcW w:w="7115" w:type="dxa"/>
          </w:tcPr>
          <w:p w:rsidR="002A0515" w:rsidRPr="0046600C" w:rsidRDefault="002A0515" w:rsidP="00A54BE4">
            <w:pPr>
              <w:pStyle w:val="TableText"/>
              <w:jc w:val="both"/>
              <w:rPr>
                <w:rFonts w:eastAsiaTheme="minorEastAsia"/>
                <w:b/>
                <w:lang w:val="en-US" w:eastAsia="en-GB"/>
              </w:rPr>
            </w:pPr>
            <w:r>
              <w:rPr>
                <w:szCs w:val="17"/>
              </w:rPr>
              <w:t>Items disclosed should be measured and defined according to the methodology and instructions set out in the Stable Funding Position Return (MA(BS)26).  Data should be presented as quarter-end observations and in Hong Kong dollars or the equivalent amount of Hong Kong dollars.</w:t>
            </w:r>
          </w:p>
        </w:tc>
      </w:tr>
      <w:tr w:rsidR="002A0515" w:rsidRPr="0023654F" w:rsidTr="00A54BE4">
        <w:tc>
          <w:tcPr>
            <w:tcW w:w="1986" w:type="dxa"/>
          </w:tcPr>
          <w:p w:rsidR="002A0515" w:rsidRPr="0023654F" w:rsidRDefault="002A0515" w:rsidP="00A54BE4">
            <w:pPr>
              <w:spacing w:before="40" w:after="40"/>
              <w:rPr>
                <w:sz w:val="17"/>
                <w:lang w:eastAsia="en-GB"/>
              </w:rPr>
            </w:pPr>
            <w:r w:rsidRPr="0023654F">
              <w:rPr>
                <w:b/>
                <w:sz w:val="17"/>
                <w:lang w:eastAsia="en-GB"/>
              </w:rPr>
              <w:t>Frequency:</w:t>
            </w:r>
            <w:r w:rsidRPr="0023654F">
              <w:rPr>
                <w:sz w:val="17"/>
                <w:lang w:eastAsia="en-GB"/>
              </w:rPr>
              <w:t xml:space="preserve"> </w:t>
            </w:r>
          </w:p>
        </w:tc>
        <w:tc>
          <w:tcPr>
            <w:tcW w:w="7115" w:type="dxa"/>
          </w:tcPr>
          <w:p w:rsidR="002A0515" w:rsidRPr="0023654F" w:rsidRDefault="002A0515" w:rsidP="00A54BE4">
            <w:pPr>
              <w:pStyle w:val="TableText"/>
              <w:jc w:val="both"/>
              <w:rPr>
                <w:lang w:eastAsia="en-GB"/>
              </w:rPr>
            </w:pPr>
            <w:r>
              <w:rPr>
                <w:lang w:eastAsia="en-GB"/>
              </w:rPr>
              <w:t>Semi-annual (</w:t>
            </w:r>
            <w:r w:rsidRPr="0024355C">
              <w:rPr>
                <w:lang w:eastAsia="en-GB"/>
              </w:rPr>
              <w:t>including two data sets covering the latest and the pre</w:t>
            </w:r>
            <w:r>
              <w:rPr>
                <w:lang w:eastAsia="en-GB"/>
              </w:rPr>
              <w:t>ceding</w:t>
            </w:r>
            <w:r w:rsidRPr="0024355C">
              <w:rPr>
                <w:lang w:eastAsia="en-GB"/>
              </w:rPr>
              <w:t xml:space="preserve"> quarter-ends</w:t>
            </w:r>
            <w:r>
              <w:rPr>
                <w:lang w:eastAsia="en-GB"/>
              </w:rPr>
              <w:t>).</w:t>
            </w:r>
          </w:p>
        </w:tc>
      </w:tr>
      <w:tr w:rsidR="002A0515" w:rsidRPr="0023654F" w:rsidTr="00A54BE4">
        <w:tc>
          <w:tcPr>
            <w:tcW w:w="1986" w:type="dxa"/>
          </w:tcPr>
          <w:p w:rsidR="002A0515" w:rsidRPr="0023654F" w:rsidRDefault="002A0515" w:rsidP="00A54BE4">
            <w:pPr>
              <w:spacing w:before="40" w:after="40"/>
              <w:rPr>
                <w:sz w:val="17"/>
                <w:lang w:eastAsia="en-GB"/>
              </w:rPr>
            </w:pPr>
            <w:r w:rsidRPr="0023654F">
              <w:rPr>
                <w:b/>
                <w:sz w:val="17"/>
                <w:lang w:eastAsia="en-GB"/>
              </w:rPr>
              <w:t>Format:</w:t>
            </w:r>
            <w:r w:rsidRPr="0023654F">
              <w:rPr>
                <w:sz w:val="17"/>
                <w:lang w:eastAsia="en-GB"/>
              </w:rPr>
              <w:t xml:space="preserve"> </w:t>
            </w:r>
          </w:p>
        </w:tc>
        <w:tc>
          <w:tcPr>
            <w:tcW w:w="7115" w:type="dxa"/>
          </w:tcPr>
          <w:p w:rsidR="002A0515" w:rsidRPr="0023654F" w:rsidRDefault="002A0515" w:rsidP="00A54BE4">
            <w:pPr>
              <w:pStyle w:val="TableText"/>
              <w:jc w:val="both"/>
              <w:rPr>
                <w:lang w:eastAsia="en-GB"/>
              </w:rPr>
            </w:pPr>
            <w:r w:rsidRPr="0023654F">
              <w:rPr>
                <w:lang w:eastAsia="en-GB"/>
              </w:rPr>
              <w:t>Fixed.</w:t>
            </w:r>
          </w:p>
        </w:tc>
      </w:tr>
      <w:tr w:rsidR="002A0515" w:rsidRPr="0023654F" w:rsidTr="00A54BE4">
        <w:tc>
          <w:tcPr>
            <w:tcW w:w="1986" w:type="dxa"/>
          </w:tcPr>
          <w:p w:rsidR="002A0515" w:rsidRPr="0023654F" w:rsidRDefault="002A0515" w:rsidP="00A54BE4">
            <w:pPr>
              <w:spacing w:before="40" w:after="40"/>
              <w:rPr>
                <w:b/>
                <w:sz w:val="17"/>
                <w:lang w:eastAsia="en-GB"/>
              </w:rPr>
            </w:pPr>
            <w:r w:rsidRPr="0023654F">
              <w:rPr>
                <w:rFonts w:eastAsiaTheme="minorEastAsia"/>
                <w:b/>
                <w:sz w:val="17"/>
                <w:szCs w:val="17"/>
                <w:lang w:eastAsia="en-GB"/>
              </w:rPr>
              <w:t>Accompanying narrative</w:t>
            </w:r>
            <w:r w:rsidRPr="0023654F">
              <w:rPr>
                <w:rFonts w:eastAsiaTheme="minorEastAsia"/>
                <w:sz w:val="17"/>
                <w:szCs w:val="17"/>
                <w:lang w:eastAsia="en-GB"/>
              </w:rPr>
              <w:t>:</w:t>
            </w:r>
          </w:p>
        </w:tc>
        <w:tc>
          <w:tcPr>
            <w:tcW w:w="7115" w:type="dxa"/>
          </w:tcPr>
          <w:p w:rsidR="002A0515" w:rsidRPr="0024355C" w:rsidRDefault="002A0515" w:rsidP="00A54BE4">
            <w:pPr>
              <w:pStyle w:val="TableText"/>
              <w:jc w:val="both"/>
              <w:rPr>
                <w:szCs w:val="17"/>
                <w:lang w:eastAsia="en-GB"/>
              </w:rPr>
            </w:pPr>
            <w:r>
              <w:rPr>
                <w:szCs w:val="17"/>
                <w:lang w:eastAsia="en-GB"/>
              </w:rPr>
              <w:t>An AI</w:t>
            </w:r>
            <w:r w:rsidRPr="0024355C">
              <w:rPr>
                <w:szCs w:val="17"/>
                <w:lang w:eastAsia="en-GB"/>
              </w:rPr>
              <w:t xml:space="preserve"> should provide a sufficient qualitative discussion on the NSFR to facilitate an understanding of the results and the accompanying data. </w:t>
            </w:r>
            <w:r>
              <w:rPr>
                <w:szCs w:val="17"/>
                <w:lang w:eastAsia="en-GB"/>
              </w:rPr>
              <w:t xml:space="preserve"> </w:t>
            </w:r>
            <w:r w:rsidRPr="0024355C">
              <w:rPr>
                <w:szCs w:val="17"/>
                <w:lang w:eastAsia="en-GB"/>
              </w:rPr>
              <w:t xml:space="preserve">For example, where significant, </w:t>
            </w:r>
            <w:r>
              <w:rPr>
                <w:szCs w:val="17"/>
                <w:lang w:eastAsia="en-GB"/>
              </w:rPr>
              <w:t>the AI</w:t>
            </w:r>
            <w:r w:rsidRPr="0024355C">
              <w:rPr>
                <w:szCs w:val="17"/>
                <w:lang w:eastAsia="en-GB"/>
              </w:rPr>
              <w:t xml:space="preserve"> </w:t>
            </w:r>
            <w:r>
              <w:rPr>
                <w:szCs w:val="17"/>
                <w:lang w:eastAsia="en-GB"/>
              </w:rPr>
              <w:t>sh</w:t>
            </w:r>
            <w:r w:rsidRPr="0024355C">
              <w:rPr>
                <w:szCs w:val="17"/>
                <w:lang w:eastAsia="en-GB"/>
              </w:rPr>
              <w:t>ould discuss:</w:t>
            </w:r>
          </w:p>
          <w:p w:rsidR="002A0515" w:rsidRPr="00965ADD" w:rsidRDefault="002A0515" w:rsidP="002A0515">
            <w:pPr>
              <w:pStyle w:val="Default"/>
              <w:numPr>
                <w:ilvl w:val="0"/>
                <w:numId w:val="46"/>
              </w:numPr>
              <w:tabs>
                <w:tab w:val="left" w:pos="294"/>
              </w:tabs>
              <w:ind w:left="294" w:hanging="294"/>
              <w:jc w:val="both"/>
              <w:rPr>
                <w:sz w:val="17"/>
                <w:szCs w:val="17"/>
              </w:rPr>
            </w:pPr>
            <w:r w:rsidRPr="00965ADD">
              <w:rPr>
                <w:sz w:val="17"/>
                <w:szCs w:val="17"/>
              </w:rPr>
              <w:t xml:space="preserve">the drivers of </w:t>
            </w:r>
            <w:r>
              <w:rPr>
                <w:sz w:val="17"/>
                <w:szCs w:val="17"/>
              </w:rPr>
              <w:t>i</w:t>
            </w:r>
            <w:r w:rsidRPr="00965ADD">
              <w:rPr>
                <w:sz w:val="17"/>
                <w:szCs w:val="17"/>
              </w:rPr>
              <w:t>t</w:t>
            </w:r>
            <w:r>
              <w:rPr>
                <w:sz w:val="17"/>
                <w:szCs w:val="17"/>
              </w:rPr>
              <w:t>s</w:t>
            </w:r>
            <w:r w:rsidRPr="00965ADD">
              <w:rPr>
                <w:sz w:val="17"/>
                <w:szCs w:val="17"/>
              </w:rPr>
              <w:t xml:space="preserve"> NSFR results</w:t>
            </w:r>
            <w:r>
              <w:rPr>
                <w:sz w:val="17"/>
                <w:szCs w:val="17"/>
              </w:rPr>
              <w:t>,</w:t>
            </w:r>
            <w:r w:rsidRPr="00965ADD">
              <w:rPr>
                <w:sz w:val="17"/>
                <w:szCs w:val="17"/>
              </w:rPr>
              <w:t xml:space="preserve"> the reasons for intra-period changes </w:t>
            </w:r>
            <w:r>
              <w:rPr>
                <w:sz w:val="17"/>
                <w:szCs w:val="17"/>
              </w:rPr>
              <w:t>and</w:t>
            </w:r>
            <w:r w:rsidRPr="00965ADD">
              <w:rPr>
                <w:sz w:val="17"/>
                <w:szCs w:val="17"/>
              </w:rPr>
              <w:t xml:space="preserve"> the changes over time (e.g. changes in strategies, funding structure, circumstances); and</w:t>
            </w:r>
          </w:p>
          <w:p w:rsidR="002A0515" w:rsidRPr="00965ADD" w:rsidRDefault="002A0515" w:rsidP="002A0515">
            <w:pPr>
              <w:pStyle w:val="Default"/>
              <w:numPr>
                <w:ilvl w:val="0"/>
                <w:numId w:val="46"/>
              </w:numPr>
              <w:tabs>
                <w:tab w:val="left" w:pos="294"/>
              </w:tabs>
              <w:ind w:left="317" w:hanging="317"/>
              <w:jc w:val="both"/>
              <w:rPr>
                <w:sz w:val="17"/>
                <w:szCs w:val="17"/>
                <w:lang w:eastAsia="en-GB"/>
              </w:rPr>
            </w:pPr>
            <w:r w:rsidRPr="00965ADD">
              <w:rPr>
                <w:sz w:val="17"/>
                <w:szCs w:val="17"/>
              </w:rPr>
              <w:t>the</w:t>
            </w:r>
            <w:r w:rsidRPr="00965ADD">
              <w:rPr>
                <w:sz w:val="17"/>
                <w:szCs w:val="17"/>
                <w:lang w:eastAsia="en-GB"/>
              </w:rPr>
              <w:t xml:space="preserve"> composition of the AI’s interdependent assets and liabilities (as defined </w:t>
            </w:r>
            <w:r>
              <w:rPr>
                <w:sz w:val="17"/>
                <w:szCs w:val="17"/>
                <w:lang w:eastAsia="en-GB"/>
              </w:rPr>
              <w:t xml:space="preserve">under Division 2 of </w:t>
            </w:r>
            <w:r w:rsidRPr="00ED2632">
              <w:rPr>
                <w:sz w:val="17"/>
                <w:szCs w:val="17"/>
              </w:rPr>
              <w:t>Part 9 of the BLR</w:t>
            </w:r>
            <w:r w:rsidRPr="00ED2632">
              <w:rPr>
                <w:sz w:val="17"/>
                <w:szCs w:val="17"/>
                <w:lang w:eastAsia="en-GB"/>
              </w:rPr>
              <w:t>) an</w:t>
            </w:r>
            <w:r w:rsidRPr="00965ADD">
              <w:rPr>
                <w:sz w:val="17"/>
                <w:szCs w:val="17"/>
                <w:lang w:eastAsia="en-GB"/>
              </w:rPr>
              <w:t>d to what extent these transactions are interrelated.</w:t>
            </w:r>
          </w:p>
        </w:tc>
      </w:tr>
      <w:tr w:rsidR="002A0515" w:rsidRPr="0023654F" w:rsidTr="00A54BE4">
        <w:tc>
          <w:tcPr>
            <w:tcW w:w="1986" w:type="dxa"/>
          </w:tcPr>
          <w:p w:rsidR="002A0515" w:rsidRPr="0023654F" w:rsidRDefault="002A0515" w:rsidP="00A54BE4">
            <w:pPr>
              <w:spacing w:before="40" w:after="40"/>
              <w:rPr>
                <w:rFonts w:eastAsiaTheme="minorEastAsia"/>
                <w:b/>
                <w:sz w:val="17"/>
                <w:szCs w:val="17"/>
                <w:lang w:eastAsia="en-GB"/>
              </w:rPr>
            </w:pPr>
            <w:r>
              <w:rPr>
                <w:rFonts w:eastAsiaTheme="minorEastAsia"/>
                <w:b/>
                <w:sz w:val="17"/>
                <w:szCs w:val="17"/>
                <w:lang w:eastAsia="en-GB"/>
              </w:rPr>
              <w:t>Corresponding BDR section:</w:t>
            </w:r>
          </w:p>
        </w:tc>
        <w:tc>
          <w:tcPr>
            <w:tcW w:w="7115" w:type="dxa"/>
          </w:tcPr>
          <w:p w:rsidR="002A0515" w:rsidRPr="00AC37F2" w:rsidRDefault="002A0515" w:rsidP="00A54BE4">
            <w:pPr>
              <w:pStyle w:val="TableText"/>
              <w:jc w:val="both"/>
              <w:rPr>
                <w:szCs w:val="17"/>
                <w:lang w:eastAsia="en-GB"/>
              </w:rPr>
            </w:pPr>
            <w:r w:rsidRPr="001B530B">
              <w:rPr>
                <w:szCs w:val="17"/>
                <w:lang w:eastAsia="en-GB"/>
              </w:rPr>
              <w:t>16FL and 103AB</w:t>
            </w:r>
          </w:p>
        </w:tc>
      </w:tr>
    </w:tbl>
    <w:p w:rsidR="002A0515" w:rsidRDefault="002A0515" w:rsidP="002A0515">
      <w:pPr>
        <w:rPr>
          <w:sz w:val="22"/>
        </w:rPr>
      </w:pPr>
    </w:p>
    <w:p w:rsidR="002A0515" w:rsidRDefault="002A0515" w:rsidP="002A0515">
      <w:pPr>
        <w:rPr>
          <w:sz w:val="22"/>
        </w:rPr>
      </w:pPr>
    </w:p>
    <w:tbl>
      <w:tblPr>
        <w:tblW w:w="9073" w:type="dxa"/>
        <w:tblInd w:w="-426"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466"/>
        <w:gridCol w:w="3642"/>
        <w:gridCol w:w="994"/>
        <w:gridCol w:w="985"/>
        <w:gridCol w:w="992"/>
        <w:gridCol w:w="993"/>
        <w:gridCol w:w="1001"/>
      </w:tblGrid>
      <w:tr w:rsidR="002A0515" w:rsidRPr="0023654F" w:rsidTr="00A54BE4">
        <w:trPr>
          <w:trHeight w:val="324"/>
          <w:tblHeader/>
        </w:trPr>
        <w:tc>
          <w:tcPr>
            <w:tcW w:w="4110" w:type="dxa"/>
            <w:gridSpan w:val="2"/>
            <w:tcBorders>
              <w:top w:val="nil"/>
              <w:left w:val="nil"/>
              <w:bottom w:val="single" w:sz="4" w:space="0" w:color="auto"/>
              <w:right w:val="single" w:sz="4" w:space="0" w:color="auto"/>
            </w:tcBorders>
            <w:vAlign w:val="center"/>
          </w:tcPr>
          <w:p w:rsidR="002A0515" w:rsidRDefault="002A0515" w:rsidP="00A54BE4">
            <w:pPr>
              <w:pStyle w:val="Default"/>
              <w:rPr>
                <w:b/>
                <w:bCs/>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2A0515" w:rsidRPr="00790743" w:rsidRDefault="002A0515" w:rsidP="00A54BE4">
            <w:pPr>
              <w:pStyle w:val="TableText"/>
              <w:spacing w:before="0" w:after="0"/>
              <w:jc w:val="center"/>
              <w:rPr>
                <w:bCs/>
                <w:szCs w:val="17"/>
                <w:lang w:eastAsia="it-IT"/>
              </w:rPr>
            </w:pPr>
            <w:r w:rsidRPr="00790743">
              <w:rPr>
                <w:bCs/>
                <w:szCs w:val="17"/>
                <w:lang w:eastAsia="it-IT"/>
              </w:rPr>
              <w:t>(a)</w:t>
            </w:r>
          </w:p>
        </w:tc>
        <w:tc>
          <w:tcPr>
            <w:tcW w:w="985" w:type="dxa"/>
            <w:tcBorders>
              <w:top w:val="single" w:sz="6" w:space="0" w:color="auto"/>
              <w:left w:val="single" w:sz="4" w:space="0" w:color="auto"/>
              <w:bottom w:val="single" w:sz="6" w:space="0" w:color="auto"/>
              <w:right w:val="single" w:sz="4" w:space="0" w:color="auto"/>
            </w:tcBorders>
            <w:vAlign w:val="center"/>
          </w:tcPr>
          <w:p w:rsidR="002A0515" w:rsidRPr="00790743" w:rsidRDefault="002A0515" w:rsidP="00A54BE4">
            <w:pPr>
              <w:pStyle w:val="TableText"/>
              <w:spacing w:before="0" w:after="0"/>
              <w:jc w:val="center"/>
              <w:rPr>
                <w:bCs/>
                <w:szCs w:val="17"/>
                <w:lang w:eastAsia="it-IT"/>
              </w:rPr>
            </w:pPr>
            <w:r w:rsidRPr="00790743">
              <w:rPr>
                <w:bCs/>
                <w:szCs w:val="17"/>
                <w:lang w:eastAsia="it-IT"/>
              </w:rPr>
              <w:t>(b)</w:t>
            </w:r>
          </w:p>
        </w:tc>
        <w:tc>
          <w:tcPr>
            <w:tcW w:w="992" w:type="dxa"/>
            <w:tcBorders>
              <w:top w:val="single" w:sz="6" w:space="0" w:color="auto"/>
              <w:left w:val="single" w:sz="4" w:space="0" w:color="auto"/>
              <w:bottom w:val="single" w:sz="6" w:space="0" w:color="auto"/>
              <w:right w:val="single" w:sz="4" w:space="0" w:color="auto"/>
            </w:tcBorders>
          </w:tcPr>
          <w:p w:rsidR="002A0515" w:rsidRPr="00790743" w:rsidRDefault="002A0515" w:rsidP="00A54BE4">
            <w:pPr>
              <w:jc w:val="center"/>
              <w:rPr>
                <w:sz w:val="17"/>
                <w:szCs w:val="17"/>
              </w:rPr>
            </w:pPr>
            <w:r w:rsidRPr="00790743">
              <w:rPr>
                <w:bCs/>
                <w:sz w:val="17"/>
                <w:szCs w:val="17"/>
                <w:lang w:eastAsia="it-IT"/>
              </w:rPr>
              <w:t>(c)</w:t>
            </w:r>
          </w:p>
        </w:tc>
        <w:tc>
          <w:tcPr>
            <w:tcW w:w="993" w:type="dxa"/>
            <w:tcBorders>
              <w:top w:val="single" w:sz="6" w:space="0" w:color="auto"/>
              <w:left w:val="single" w:sz="4" w:space="0" w:color="auto"/>
              <w:bottom w:val="single" w:sz="6" w:space="0" w:color="auto"/>
              <w:right w:val="single" w:sz="6" w:space="0" w:color="auto"/>
            </w:tcBorders>
          </w:tcPr>
          <w:p w:rsidR="002A0515" w:rsidRPr="00790743" w:rsidRDefault="002A0515" w:rsidP="00A54BE4">
            <w:pPr>
              <w:jc w:val="center"/>
              <w:rPr>
                <w:sz w:val="17"/>
                <w:szCs w:val="17"/>
              </w:rPr>
            </w:pPr>
            <w:r w:rsidRPr="00790743">
              <w:rPr>
                <w:bCs/>
                <w:sz w:val="17"/>
                <w:szCs w:val="17"/>
                <w:lang w:eastAsia="it-IT"/>
              </w:rPr>
              <w:t>(d)</w:t>
            </w:r>
          </w:p>
        </w:tc>
        <w:tc>
          <w:tcPr>
            <w:tcW w:w="1001" w:type="dxa"/>
            <w:tcBorders>
              <w:top w:val="single" w:sz="6" w:space="0" w:color="auto"/>
              <w:left w:val="single" w:sz="6" w:space="0" w:color="auto"/>
              <w:bottom w:val="single" w:sz="6" w:space="0" w:color="auto"/>
              <w:right w:val="single" w:sz="4" w:space="0" w:color="auto"/>
            </w:tcBorders>
          </w:tcPr>
          <w:p w:rsidR="002A0515" w:rsidRPr="00790743" w:rsidRDefault="002A0515" w:rsidP="00A54BE4">
            <w:pPr>
              <w:jc w:val="center"/>
              <w:rPr>
                <w:sz w:val="17"/>
                <w:szCs w:val="17"/>
              </w:rPr>
            </w:pPr>
            <w:r w:rsidRPr="00790743">
              <w:rPr>
                <w:bCs/>
                <w:sz w:val="17"/>
                <w:szCs w:val="17"/>
                <w:lang w:eastAsia="it-IT"/>
              </w:rPr>
              <w:t>(e)</w:t>
            </w:r>
          </w:p>
        </w:tc>
      </w:tr>
      <w:tr w:rsidR="002A0515" w:rsidRPr="0023654F" w:rsidTr="00A54BE4">
        <w:trPr>
          <w:trHeight w:val="241"/>
          <w:tblHeader/>
        </w:trPr>
        <w:tc>
          <w:tcPr>
            <w:tcW w:w="4110" w:type="dxa"/>
            <w:gridSpan w:val="2"/>
            <w:vMerge w:val="restart"/>
            <w:tcBorders>
              <w:top w:val="single" w:sz="4" w:space="0" w:color="auto"/>
              <w:left w:val="nil"/>
              <w:right w:val="single" w:sz="6" w:space="0" w:color="auto"/>
            </w:tcBorders>
            <w:vAlign w:val="center"/>
          </w:tcPr>
          <w:p w:rsidR="002A0515" w:rsidRPr="000B6342" w:rsidRDefault="002A0515" w:rsidP="00A54BE4">
            <w:pPr>
              <w:pStyle w:val="TableText"/>
              <w:snapToGrid w:val="0"/>
              <w:ind w:rightChars="71" w:right="142"/>
              <w:rPr>
                <w:lang w:eastAsia="it-IT"/>
              </w:rPr>
            </w:pPr>
            <w:r w:rsidRPr="00E960C4">
              <w:rPr>
                <w:lang w:eastAsia="it-IT"/>
              </w:rPr>
              <w:t>Basis of disclosure: consolidated / unconsolidated / Hong Kong office (delete as appropriate)</w:t>
            </w:r>
          </w:p>
        </w:tc>
        <w:tc>
          <w:tcPr>
            <w:tcW w:w="3962" w:type="dxa"/>
            <w:gridSpan w:val="4"/>
            <w:tcBorders>
              <w:top w:val="single" w:sz="6" w:space="0" w:color="auto"/>
              <w:left w:val="single" w:sz="6" w:space="0" w:color="auto"/>
              <w:bottom w:val="single" w:sz="4" w:space="0" w:color="auto"/>
              <w:right w:val="single" w:sz="6" w:space="0" w:color="auto"/>
            </w:tcBorders>
            <w:vAlign w:val="center"/>
          </w:tcPr>
          <w:p w:rsidR="002A0515" w:rsidRPr="00350593" w:rsidRDefault="002A0515" w:rsidP="00A54BE4">
            <w:pPr>
              <w:pStyle w:val="TableText"/>
              <w:snapToGrid w:val="0"/>
              <w:jc w:val="center"/>
              <w:rPr>
                <w:b/>
                <w:lang w:eastAsia="it-IT"/>
              </w:rPr>
            </w:pPr>
            <w:r w:rsidRPr="00350593">
              <w:rPr>
                <w:b/>
                <w:lang w:eastAsia="it-IT"/>
              </w:rPr>
              <w:t>Unweighted value by residual maturity</w:t>
            </w:r>
          </w:p>
        </w:tc>
        <w:tc>
          <w:tcPr>
            <w:tcW w:w="1001" w:type="dxa"/>
            <w:vMerge w:val="restart"/>
            <w:tcBorders>
              <w:top w:val="single" w:sz="6" w:space="0" w:color="auto"/>
              <w:left w:val="single" w:sz="6" w:space="0" w:color="auto"/>
              <w:right w:val="single" w:sz="4" w:space="0" w:color="auto"/>
            </w:tcBorders>
            <w:vAlign w:val="center"/>
          </w:tcPr>
          <w:p w:rsidR="002A0515" w:rsidRPr="00350593" w:rsidRDefault="002A0515" w:rsidP="00A54BE4">
            <w:pPr>
              <w:pStyle w:val="TableText"/>
              <w:snapToGrid w:val="0"/>
              <w:jc w:val="center"/>
              <w:rPr>
                <w:b/>
                <w:lang w:eastAsia="it-IT"/>
              </w:rPr>
            </w:pPr>
            <w:r>
              <w:rPr>
                <w:b/>
                <w:lang w:eastAsia="it-IT"/>
              </w:rPr>
              <w:t>W</w:t>
            </w:r>
            <w:r w:rsidRPr="00445B4A">
              <w:rPr>
                <w:b/>
                <w:lang w:eastAsia="it-IT"/>
              </w:rPr>
              <w:t xml:space="preserve">eighted </w:t>
            </w:r>
            <w:r>
              <w:rPr>
                <w:b/>
                <w:lang w:eastAsia="it-IT"/>
              </w:rPr>
              <w:t>amount</w:t>
            </w:r>
          </w:p>
        </w:tc>
      </w:tr>
      <w:tr w:rsidR="002A0515" w:rsidRPr="0023654F" w:rsidTr="00A54BE4">
        <w:trPr>
          <w:trHeight w:val="553"/>
          <w:tblHeader/>
        </w:trPr>
        <w:tc>
          <w:tcPr>
            <w:tcW w:w="4110" w:type="dxa"/>
            <w:gridSpan w:val="2"/>
            <w:vMerge/>
            <w:tcBorders>
              <w:left w:val="nil"/>
              <w:bottom w:val="single" w:sz="4" w:space="0" w:color="auto"/>
              <w:right w:val="single" w:sz="6" w:space="0" w:color="auto"/>
            </w:tcBorders>
            <w:vAlign w:val="center"/>
          </w:tcPr>
          <w:p w:rsidR="002A0515" w:rsidRPr="00E960C4" w:rsidRDefault="002A0515" w:rsidP="00A54BE4">
            <w:pPr>
              <w:pStyle w:val="TableText"/>
              <w:snapToGrid w:val="0"/>
              <w:ind w:rightChars="71" w:right="142"/>
              <w:rPr>
                <w:lang w:eastAsia="it-IT"/>
              </w:rPr>
            </w:pPr>
          </w:p>
        </w:tc>
        <w:tc>
          <w:tcPr>
            <w:tcW w:w="992" w:type="dxa"/>
            <w:tcBorders>
              <w:top w:val="single" w:sz="4" w:space="0" w:color="auto"/>
              <w:left w:val="single" w:sz="6" w:space="0" w:color="auto"/>
              <w:bottom w:val="single" w:sz="4" w:space="0" w:color="auto"/>
              <w:right w:val="single" w:sz="4" w:space="0" w:color="auto"/>
            </w:tcBorders>
            <w:vAlign w:val="center"/>
          </w:tcPr>
          <w:p w:rsidR="002A0515" w:rsidRPr="00350593" w:rsidRDefault="002A0515" w:rsidP="00A54BE4">
            <w:pPr>
              <w:pStyle w:val="TableText"/>
              <w:snapToGrid w:val="0"/>
              <w:jc w:val="center"/>
              <w:rPr>
                <w:lang w:eastAsia="it-IT"/>
              </w:rPr>
            </w:pPr>
            <w:r>
              <w:rPr>
                <w:lang w:eastAsia="it-IT"/>
              </w:rPr>
              <w:t xml:space="preserve"> </w:t>
            </w:r>
            <w:r w:rsidRPr="00350593">
              <w:rPr>
                <w:lang w:eastAsia="it-IT"/>
              </w:rPr>
              <w:t>No</w:t>
            </w:r>
            <w:r>
              <w:rPr>
                <w:lang w:eastAsia="it-IT"/>
              </w:rPr>
              <w:t xml:space="preserve"> specified term to</w:t>
            </w:r>
            <w:r w:rsidRPr="00350593">
              <w:rPr>
                <w:lang w:eastAsia="it-IT"/>
              </w:rPr>
              <w:t xml:space="preserve"> maturity</w:t>
            </w:r>
          </w:p>
        </w:tc>
        <w:tc>
          <w:tcPr>
            <w:tcW w:w="985" w:type="dxa"/>
            <w:tcBorders>
              <w:top w:val="single" w:sz="4" w:space="0" w:color="auto"/>
              <w:left w:val="single" w:sz="4" w:space="0" w:color="auto"/>
              <w:bottom w:val="single" w:sz="4" w:space="0" w:color="auto"/>
              <w:right w:val="single" w:sz="4" w:space="0" w:color="auto"/>
            </w:tcBorders>
            <w:vAlign w:val="center"/>
          </w:tcPr>
          <w:p w:rsidR="002A0515" w:rsidRPr="00350593" w:rsidRDefault="002A0515" w:rsidP="00A54BE4">
            <w:pPr>
              <w:pStyle w:val="TableText"/>
              <w:snapToGrid w:val="0"/>
              <w:jc w:val="center"/>
              <w:rPr>
                <w:lang w:eastAsia="it-IT"/>
              </w:rPr>
            </w:pPr>
            <w:r>
              <w:rPr>
                <w:lang w:eastAsia="it-IT"/>
              </w:rPr>
              <w:t>&lt;6 months or repayable on demand</w:t>
            </w:r>
          </w:p>
        </w:tc>
        <w:tc>
          <w:tcPr>
            <w:tcW w:w="992" w:type="dxa"/>
            <w:tcBorders>
              <w:top w:val="single" w:sz="4" w:space="0" w:color="auto"/>
              <w:left w:val="single" w:sz="4" w:space="0" w:color="auto"/>
              <w:bottom w:val="single" w:sz="6" w:space="0" w:color="auto"/>
              <w:right w:val="single" w:sz="4" w:space="0" w:color="auto"/>
            </w:tcBorders>
            <w:vAlign w:val="center"/>
          </w:tcPr>
          <w:p w:rsidR="002A0515" w:rsidRPr="00350593" w:rsidRDefault="002A0515" w:rsidP="00A54BE4">
            <w:pPr>
              <w:pStyle w:val="TableText"/>
              <w:snapToGrid w:val="0"/>
              <w:jc w:val="center"/>
              <w:rPr>
                <w:lang w:eastAsia="it-IT"/>
              </w:rPr>
            </w:pPr>
            <w:r>
              <w:rPr>
                <w:lang w:eastAsia="it-IT"/>
              </w:rPr>
              <w:t xml:space="preserve">6 months to &lt; 12 months </w:t>
            </w:r>
          </w:p>
        </w:tc>
        <w:tc>
          <w:tcPr>
            <w:tcW w:w="993" w:type="dxa"/>
            <w:tcBorders>
              <w:top w:val="single" w:sz="4" w:space="0" w:color="auto"/>
              <w:left w:val="single" w:sz="4" w:space="0" w:color="auto"/>
              <w:bottom w:val="single" w:sz="6" w:space="0" w:color="auto"/>
              <w:right w:val="single" w:sz="6" w:space="0" w:color="auto"/>
            </w:tcBorders>
            <w:vAlign w:val="center"/>
          </w:tcPr>
          <w:p w:rsidR="002A0515" w:rsidRPr="00350593" w:rsidRDefault="002A0515" w:rsidP="00A54BE4">
            <w:pPr>
              <w:pStyle w:val="TableText"/>
              <w:snapToGrid w:val="0"/>
              <w:jc w:val="center"/>
              <w:rPr>
                <w:lang w:eastAsia="it-IT"/>
              </w:rPr>
            </w:pPr>
            <w:r>
              <w:rPr>
                <w:lang w:eastAsia="it-IT"/>
              </w:rPr>
              <w:t xml:space="preserve">12 months or more </w:t>
            </w:r>
          </w:p>
        </w:tc>
        <w:tc>
          <w:tcPr>
            <w:tcW w:w="1001" w:type="dxa"/>
            <w:vMerge/>
            <w:tcBorders>
              <w:left w:val="single" w:sz="6" w:space="0" w:color="auto"/>
              <w:bottom w:val="single" w:sz="6" w:space="0" w:color="auto"/>
              <w:right w:val="single" w:sz="4" w:space="0" w:color="auto"/>
            </w:tcBorders>
            <w:vAlign w:val="center"/>
          </w:tcPr>
          <w:p w:rsidR="002A0515" w:rsidRDefault="002A0515" w:rsidP="00A54BE4">
            <w:pPr>
              <w:pStyle w:val="TableText"/>
              <w:snapToGrid w:val="0"/>
              <w:jc w:val="center"/>
              <w:rPr>
                <w:b/>
                <w:lang w:eastAsia="it-IT"/>
              </w:rPr>
            </w:pPr>
          </w:p>
        </w:tc>
      </w:tr>
      <w:tr w:rsidR="002A0515" w:rsidRPr="0023654F" w:rsidTr="00A54BE4">
        <w:trPr>
          <w:cantSplit/>
          <w:trHeight w:val="285"/>
        </w:trPr>
        <w:tc>
          <w:tcPr>
            <w:tcW w:w="4110" w:type="dxa"/>
            <w:gridSpan w:val="2"/>
            <w:tcBorders>
              <w:top w:val="single" w:sz="4" w:space="0" w:color="auto"/>
              <w:left w:val="nil"/>
              <w:bottom w:val="single" w:sz="4" w:space="0" w:color="auto"/>
              <w:right w:val="nil"/>
            </w:tcBorders>
            <w:shd w:val="clear" w:color="auto" w:fill="BFBFBF" w:themeFill="background1" w:themeFillShade="BF"/>
          </w:tcPr>
          <w:p w:rsidR="002A0515" w:rsidRPr="00445B4A" w:rsidRDefault="002A0515" w:rsidP="002A0515">
            <w:pPr>
              <w:pStyle w:val="TableText"/>
              <w:numPr>
                <w:ilvl w:val="0"/>
                <w:numId w:val="82"/>
              </w:numPr>
              <w:snapToGrid w:val="0"/>
              <w:ind w:rightChars="71" w:right="142"/>
              <w:rPr>
                <w:b/>
                <w:lang w:eastAsia="it-IT"/>
              </w:rPr>
            </w:pPr>
            <w:r>
              <w:rPr>
                <w:b/>
                <w:lang w:eastAsia="it-IT"/>
              </w:rPr>
              <w:t>Available stable funding (“ASF”) item</w:t>
            </w:r>
          </w:p>
        </w:tc>
        <w:tc>
          <w:tcPr>
            <w:tcW w:w="992" w:type="dxa"/>
            <w:tcBorders>
              <w:top w:val="single" w:sz="4" w:space="0" w:color="auto"/>
              <w:left w:val="nil"/>
              <w:bottom w:val="single" w:sz="4" w:space="0" w:color="auto"/>
              <w:right w:val="nil"/>
            </w:tcBorders>
            <w:shd w:val="clear" w:color="auto" w:fill="BFBFBF" w:themeFill="background1" w:themeFillShade="BF"/>
          </w:tcPr>
          <w:p w:rsidR="002A0515" w:rsidRPr="0023654F" w:rsidRDefault="002A0515" w:rsidP="00A54BE4">
            <w:pPr>
              <w:pStyle w:val="TableText"/>
              <w:snapToGrid w:val="0"/>
              <w:rPr>
                <w:lang w:eastAsia="it-IT"/>
              </w:rPr>
            </w:pPr>
          </w:p>
        </w:tc>
        <w:tc>
          <w:tcPr>
            <w:tcW w:w="985" w:type="dxa"/>
            <w:tcBorders>
              <w:top w:val="single" w:sz="4" w:space="0" w:color="auto"/>
              <w:left w:val="nil"/>
              <w:bottom w:val="single" w:sz="4" w:space="0" w:color="auto"/>
              <w:right w:val="nil"/>
            </w:tcBorders>
            <w:shd w:val="clear" w:color="auto" w:fill="BFBFBF" w:themeFill="background1" w:themeFillShade="BF"/>
          </w:tcPr>
          <w:p w:rsidR="002A0515" w:rsidRPr="0023654F" w:rsidRDefault="002A0515" w:rsidP="00A54BE4">
            <w:pPr>
              <w:pStyle w:val="TableText"/>
              <w:snapToGrid w:val="0"/>
              <w:rPr>
                <w:lang w:eastAsia="it-IT"/>
              </w:rPr>
            </w:pPr>
          </w:p>
        </w:tc>
        <w:tc>
          <w:tcPr>
            <w:tcW w:w="992" w:type="dxa"/>
            <w:tcBorders>
              <w:top w:val="single" w:sz="6" w:space="0" w:color="auto"/>
              <w:left w:val="nil"/>
              <w:bottom w:val="single" w:sz="4" w:space="0" w:color="auto"/>
              <w:right w:val="nil"/>
            </w:tcBorders>
            <w:shd w:val="clear" w:color="auto" w:fill="BFBFBF" w:themeFill="background1" w:themeFillShade="BF"/>
          </w:tcPr>
          <w:p w:rsidR="002A0515" w:rsidRPr="0023654F" w:rsidRDefault="002A0515" w:rsidP="00A54BE4">
            <w:pPr>
              <w:pStyle w:val="TableText"/>
              <w:snapToGrid w:val="0"/>
              <w:rPr>
                <w:lang w:eastAsia="it-IT"/>
              </w:rPr>
            </w:pPr>
          </w:p>
        </w:tc>
        <w:tc>
          <w:tcPr>
            <w:tcW w:w="993" w:type="dxa"/>
            <w:tcBorders>
              <w:top w:val="single" w:sz="6" w:space="0" w:color="auto"/>
              <w:left w:val="nil"/>
              <w:bottom w:val="single" w:sz="4" w:space="0" w:color="auto"/>
              <w:right w:val="nil"/>
            </w:tcBorders>
            <w:shd w:val="clear" w:color="auto" w:fill="BFBFBF" w:themeFill="background1" w:themeFillShade="BF"/>
          </w:tcPr>
          <w:p w:rsidR="002A0515" w:rsidRPr="0023654F" w:rsidRDefault="002A0515" w:rsidP="00A54BE4">
            <w:pPr>
              <w:pStyle w:val="TableText"/>
              <w:snapToGrid w:val="0"/>
              <w:rPr>
                <w:lang w:eastAsia="it-IT"/>
              </w:rPr>
            </w:pPr>
          </w:p>
        </w:tc>
        <w:tc>
          <w:tcPr>
            <w:tcW w:w="1001" w:type="dxa"/>
            <w:tcBorders>
              <w:top w:val="single" w:sz="6" w:space="0" w:color="auto"/>
              <w:left w:val="nil"/>
              <w:bottom w:val="single" w:sz="4" w:space="0" w:color="auto"/>
              <w:right w:val="single" w:sz="4" w:space="0" w:color="auto"/>
            </w:tcBorders>
            <w:shd w:val="clear" w:color="auto" w:fill="BFBFBF" w:themeFill="background1" w:themeFillShade="BF"/>
          </w:tcPr>
          <w:p w:rsidR="002A0515" w:rsidRPr="0023654F" w:rsidRDefault="002A0515" w:rsidP="00A54BE4">
            <w:pPr>
              <w:pStyle w:val="TableText"/>
              <w:snapToGrid w:val="0"/>
              <w:rPr>
                <w:lang w:eastAsia="it-IT"/>
              </w:rPr>
            </w:pPr>
          </w:p>
        </w:tc>
      </w:tr>
      <w:tr w:rsidR="002A0515" w:rsidRPr="0023654F" w:rsidTr="00A54BE4">
        <w:trPr>
          <w:cantSplit/>
          <w:trHeight w:val="285"/>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ind w:left="57"/>
              <w:rPr>
                <w:sz w:val="16"/>
                <w:szCs w:val="16"/>
                <w:lang w:eastAsia="en-GB"/>
              </w:rPr>
            </w:pPr>
            <w:r>
              <w:rPr>
                <w:sz w:val="16"/>
                <w:szCs w:val="16"/>
                <w:lang w:eastAsia="en-GB"/>
              </w:rPr>
              <w:t>1</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E960C4" w:rsidRDefault="002A0515" w:rsidP="00A54BE4">
            <w:pPr>
              <w:pStyle w:val="TableText"/>
              <w:snapToGrid w:val="0"/>
              <w:ind w:left="57" w:rightChars="71" w:right="142"/>
              <w:rPr>
                <w:lang w:val="en-US" w:eastAsia="it-IT"/>
              </w:rPr>
            </w:pPr>
            <w:r>
              <w:rPr>
                <w:lang w:eastAsia="it-IT"/>
              </w:rPr>
              <w:t>Capital:</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tcPr>
          <w:p w:rsidR="002A0515" w:rsidRPr="0023654F" w:rsidRDefault="002A0515" w:rsidP="00A54BE4">
            <w:pPr>
              <w:pStyle w:val="TableText"/>
              <w:snapToGrid w:val="0"/>
              <w:ind w:left="57"/>
              <w:rPr>
                <w:sz w:val="16"/>
                <w:szCs w:val="16"/>
                <w:lang w:eastAsia="en-GB"/>
              </w:rPr>
            </w:pPr>
            <w:r>
              <w:rPr>
                <w:sz w:val="16"/>
                <w:szCs w:val="16"/>
                <w:lang w:eastAsia="en-GB"/>
              </w:rPr>
              <w:t>2</w:t>
            </w:r>
          </w:p>
        </w:tc>
        <w:tc>
          <w:tcPr>
            <w:tcW w:w="3643" w:type="dxa"/>
            <w:tcBorders>
              <w:top w:val="single" w:sz="4" w:space="0" w:color="auto"/>
              <w:left w:val="single" w:sz="4" w:space="0" w:color="auto"/>
              <w:bottom w:val="single" w:sz="4" w:space="0" w:color="auto"/>
              <w:right w:val="single" w:sz="4" w:space="0" w:color="auto"/>
            </w:tcBorders>
          </w:tcPr>
          <w:p w:rsidR="002A0515" w:rsidRPr="00C940CE" w:rsidRDefault="002A0515" w:rsidP="00A54BE4">
            <w:pPr>
              <w:pStyle w:val="TableText"/>
              <w:snapToGrid w:val="0"/>
              <w:ind w:leftChars="28" w:left="382" w:rightChars="71" w:right="142" w:hangingChars="192" w:hanging="326"/>
              <w:rPr>
                <w:i/>
                <w:lang w:eastAsia="it-IT"/>
              </w:rPr>
            </w:pPr>
            <w:r>
              <w:rPr>
                <w:i/>
                <w:lang w:eastAsia="it-IT"/>
              </w:rPr>
              <w:tab/>
              <w:t>Regulatory capital</w:t>
            </w: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tcPr>
          <w:p w:rsidR="002A0515" w:rsidRDefault="002A0515" w:rsidP="00A54BE4">
            <w:pPr>
              <w:pStyle w:val="TableText"/>
              <w:snapToGrid w:val="0"/>
              <w:ind w:left="57"/>
              <w:rPr>
                <w:sz w:val="16"/>
                <w:szCs w:val="16"/>
                <w:lang w:eastAsia="en-GB"/>
              </w:rPr>
            </w:pPr>
            <w:r>
              <w:rPr>
                <w:sz w:val="16"/>
                <w:szCs w:val="16"/>
                <w:lang w:eastAsia="en-GB"/>
              </w:rPr>
              <w:t>2a</w:t>
            </w:r>
          </w:p>
        </w:tc>
        <w:tc>
          <w:tcPr>
            <w:tcW w:w="3643" w:type="dxa"/>
            <w:tcBorders>
              <w:top w:val="single" w:sz="4" w:space="0" w:color="auto"/>
              <w:left w:val="single" w:sz="4" w:space="0" w:color="auto"/>
              <w:bottom w:val="single" w:sz="4" w:space="0" w:color="auto"/>
              <w:right w:val="single" w:sz="4" w:space="0" w:color="auto"/>
            </w:tcBorders>
          </w:tcPr>
          <w:p w:rsidR="002A0515" w:rsidRDefault="002A0515" w:rsidP="00A54BE4">
            <w:pPr>
              <w:pStyle w:val="TableText"/>
              <w:snapToGrid w:val="0"/>
              <w:ind w:leftChars="28" w:left="382" w:rightChars="71" w:right="142" w:hangingChars="192" w:hanging="326"/>
              <w:rPr>
                <w:i/>
                <w:lang w:eastAsia="it-IT"/>
              </w:rPr>
            </w:pPr>
            <w:r>
              <w:rPr>
                <w:i/>
                <w:lang w:eastAsia="it-IT"/>
              </w:rPr>
              <w:tab/>
              <w:t>Minority interests not covered by row 2</w:t>
            </w: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tcPr>
          <w:p w:rsidR="002A0515" w:rsidRPr="0023654F" w:rsidRDefault="002A0515" w:rsidP="00A54BE4">
            <w:pPr>
              <w:pStyle w:val="TableText"/>
              <w:snapToGrid w:val="0"/>
              <w:ind w:left="57"/>
              <w:rPr>
                <w:sz w:val="16"/>
                <w:szCs w:val="16"/>
                <w:lang w:eastAsia="en-GB"/>
              </w:rPr>
            </w:pPr>
            <w:r>
              <w:rPr>
                <w:sz w:val="16"/>
                <w:szCs w:val="16"/>
                <w:lang w:eastAsia="en-GB"/>
              </w:rPr>
              <w:t>3</w:t>
            </w:r>
          </w:p>
        </w:tc>
        <w:tc>
          <w:tcPr>
            <w:tcW w:w="3643" w:type="dxa"/>
            <w:tcBorders>
              <w:top w:val="single" w:sz="4" w:space="0" w:color="auto"/>
              <w:left w:val="single" w:sz="4" w:space="0" w:color="auto"/>
              <w:bottom w:val="single" w:sz="4" w:space="0" w:color="auto"/>
              <w:right w:val="single" w:sz="4" w:space="0" w:color="auto"/>
            </w:tcBorders>
          </w:tcPr>
          <w:p w:rsidR="002A0515" w:rsidRPr="00475528" w:rsidRDefault="002A0515" w:rsidP="00A54BE4">
            <w:pPr>
              <w:pStyle w:val="TableText"/>
              <w:tabs>
                <w:tab w:val="left" w:pos="384"/>
              </w:tabs>
              <w:snapToGrid w:val="0"/>
              <w:ind w:left="57" w:rightChars="71" w:right="142"/>
              <w:rPr>
                <w:i/>
                <w:lang w:eastAsia="it-IT"/>
              </w:rPr>
            </w:pPr>
            <w:r>
              <w:rPr>
                <w:i/>
                <w:lang w:eastAsia="it-IT"/>
              </w:rPr>
              <w:tab/>
              <w:t>Other capital instruments</w:t>
            </w: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ind w:left="57"/>
              <w:rPr>
                <w:sz w:val="16"/>
                <w:szCs w:val="16"/>
                <w:lang w:eastAsia="en-GB"/>
              </w:rPr>
            </w:pPr>
            <w:r>
              <w:rPr>
                <w:sz w:val="16"/>
                <w:szCs w:val="16"/>
                <w:lang w:eastAsia="en-GB"/>
              </w:rPr>
              <w:t>4</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62513D" w:rsidRDefault="002A0515" w:rsidP="00A54BE4">
            <w:pPr>
              <w:pStyle w:val="TableText"/>
              <w:snapToGrid w:val="0"/>
              <w:ind w:left="57" w:rightChars="71" w:right="142"/>
              <w:rPr>
                <w:lang w:val="en-US" w:eastAsia="it-IT"/>
              </w:rPr>
            </w:pPr>
            <w:r>
              <w:rPr>
                <w:lang w:eastAsia="it-IT"/>
              </w:rPr>
              <w:t xml:space="preserve">Retail deposits and </w:t>
            </w:r>
            <w:r w:rsidRPr="00475528">
              <w:rPr>
                <w:lang w:eastAsia="it-IT"/>
              </w:rPr>
              <w:t xml:space="preserve">small business </w:t>
            </w:r>
            <w:r>
              <w:rPr>
                <w:lang w:eastAsia="it-IT"/>
              </w:rPr>
              <w:t>funding</w:t>
            </w:r>
            <w:r w:rsidRPr="00475528">
              <w:rPr>
                <w:lang w:eastAsia="it-IT"/>
              </w:rPr>
              <w: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tcPr>
          <w:p w:rsidR="002A0515" w:rsidRPr="0023654F" w:rsidRDefault="002A0515" w:rsidP="00A54BE4">
            <w:pPr>
              <w:pStyle w:val="TableText"/>
              <w:snapToGrid w:val="0"/>
              <w:ind w:left="57"/>
              <w:rPr>
                <w:sz w:val="16"/>
                <w:szCs w:val="16"/>
                <w:lang w:eastAsia="en-GB"/>
              </w:rPr>
            </w:pPr>
            <w:r>
              <w:rPr>
                <w:sz w:val="16"/>
                <w:szCs w:val="16"/>
                <w:lang w:eastAsia="en-GB"/>
              </w:rPr>
              <w:t>5</w:t>
            </w:r>
          </w:p>
        </w:tc>
        <w:tc>
          <w:tcPr>
            <w:tcW w:w="3643" w:type="dxa"/>
            <w:tcBorders>
              <w:top w:val="single" w:sz="4" w:space="0" w:color="auto"/>
              <w:left w:val="single" w:sz="4" w:space="0" w:color="auto"/>
              <w:bottom w:val="single" w:sz="4" w:space="0" w:color="auto"/>
              <w:right w:val="single" w:sz="4" w:space="0" w:color="auto"/>
            </w:tcBorders>
          </w:tcPr>
          <w:p w:rsidR="002A0515" w:rsidRPr="00475528" w:rsidRDefault="002A0515" w:rsidP="00A54BE4">
            <w:pPr>
              <w:pStyle w:val="TableText"/>
              <w:tabs>
                <w:tab w:val="left" w:pos="384"/>
              </w:tabs>
              <w:snapToGrid w:val="0"/>
              <w:ind w:left="57" w:rightChars="71" w:right="142"/>
              <w:rPr>
                <w:i/>
                <w:lang w:eastAsia="it-IT"/>
              </w:rPr>
            </w:pPr>
            <w:r>
              <w:rPr>
                <w:i/>
                <w:lang w:eastAsia="it-IT"/>
              </w:rPr>
              <w:tab/>
              <w:t>Stable</w:t>
            </w:r>
            <w:r w:rsidRPr="00475528">
              <w:rPr>
                <w:i/>
                <w:lang w:eastAsia="it-IT"/>
              </w:rPr>
              <w:t xml:space="preserve"> deposits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tcPr>
          <w:p w:rsidR="002A0515" w:rsidRPr="0023654F" w:rsidRDefault="002A0515" w:rsidP="00A54BE4">
            <w:pPr>
              <w:pStyle w:val="TableText"/>
              <w:snapToGrid w:val="0"/>
              <w:ind w:left="57"/>
              <w:rPr>
                <w:sz w:val="16"/>
                <w:szCs w:val="16"/>
                <w:lang w:eastAsia="en-GB"/>
              </w:rPr>
            </w:pPr>
            <w:r>
              <w:rPr>
                <w:sz w:val="16"/>
                <w:szCs w:val="16"/>
                <w:lang w:eastAsia="en-GB"/>
              </w:rPr>
              <w:t>6</w:t>
            </w:r>
          </w:p>
        </w:tc>
        <w:tc>
          <w:tcPr>
            <w:tcW w:w="3643" w:type="dxa"/>
            <w:tcBorders>
              <w:top w:val="single" w:sz="4" w:space="0" w:color="auto"/>
              <w:left w:val="single" w:sz="4" w:space="0" w:color="auto"/>
              <w:bottom w:val="single" w:sz="4" w:space="0" w:color="auto"/>
              <w:right w:val="single" w:sz="4" w:space="0" w:color="auto"/>
            </w:tcBorders>
          </w:tcPr>
          <w:p w:rsidR="002A0515" w:rsidRPr="00475528" w:rsidRDefault="002A0515" w:rsidP="00A54BE4">
            <w:pPr>
              <w:pStyle w:val="TableText"/>
              <w:tabs>
                <w:tab w:val="left" w:pos="384"/>
              </w:tabs>
              <w:snapToGrid w:val="0"/>
              <w:ind w:left="57" w:rightChars="71" w:right="142"/>
              <w:rPr>
                <w:i/>
                <w:lang w:eastAsia="it-IT"/>
              </w:rPr>
            </w:pPr>
            <w:r>
              <w:rPr>
                <w:i/>
                <w:lang w:eastAsia="it-IT"/>
              </w:rPr>
              <w:tab/>
              <w:t>Less stable</w:t>
            </w:r>
            <w:r w:rsidRPr="00475528">
              <w:rPr>
                <w:i/>
                <w:lang w:eastAsia="it-IT"/>
              </w:rPr>
              <w:t xml:space="preserve"> deposits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ind w:left="57"/>
              <w:rPr>
                <w:sz w:val="16"/>
                <w:szCs w:val="16"/>
                <w:lang w:eastAsia="en-GB"/>
              </w:rPr>
            </w:pPr>
            <w:r>
              <w:rPr>
                <w:sz w:val="16"/>
                <w:szCs w:val="16"/>
                <w:lang w:eastAsia="en-GB"/>
              </w:rPr>
              <w:t>7</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475528" w:rsidRDefault="002A0515" w:rsidP="00A54BE4">
            <w:pPr>
              <w:pStyle w:val="TableText"/>
              <w:snapToGrid w:val="0"/>
              <w:ind w:left="57" w:rightChars="71" w:right="142"/>
              <w:rPr>
                <w:lang w:eastAsia="it-IT"/>
              </w:rPr>
            </w:pPr>
            <w:r>
              <w:rPr>
                <w:lang w:eastAsia="it-IT"/>
              </w:rPr>
              <w:t>Wholesale funding:</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ind w:left="57"/>
              <w:rPr>
                <w:sz w:val="16"/>
                <w:szCs w:val="16"/>
                <w:lang w:eastAsia="en-GB"/>
              </w:rPr>
            </w:pPr>
            <w:r>
              <w:rPr>
                <w:sz w:val="16"/>
                <w:szCs w:val="16"/>
                <w:lang w:eastAsia="en-GB"/>
              </w:rPr>
              <w:t>8</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50593" w:rsidRDefault="002A0515" w:rsidP="00A54BE4">
            <w:pPr>
              <w:pStyle w:val="TableText"/>
              <w:tabs>
                <w:tab w:val="left" w:pos="384"/>
              </w:tabs>
              <w:snapToGrid w:val="0"/>
              <w:ind w:left="57" w:rightChars="71" w:right="142"/>
              <w:rPr>
                <w:i/>
                <w:lang w:eastAsia="it-IT"/>
              </w:rPr>
            </w:pPr>
            <w:r>
              <w:rPr>
                <w:i/>
                <w:lang w:eastAsia="it-IT"/>
              </w:rPr>
              <w:tab/>
            </w:r>
            <w:r w:rsidRPr="00350593">
              <w:rPr>
                <w:i/>
                <w:lang w:eastAsia="it-IT"/>
              </w:rPr>
              <w:t>Operational deposits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ind w:left="57"/>
              <w:rPr>
                <w:sz w:val="16"/>
                <w:szCs w:val="16"/>
                <w:lang w:eastAsia="en-GB"/>
              </w:rPr>
            </w:pPr>
            <w:r>
              <w:rPr>
                <w:sz w:val="16"/>
                <w:szCs w:val="16"/>
                <w:lang w:eastAsia="en-GB"/>
              </w:rPr>
              <w:t>9</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50593" w:rsidRDefault="002A0515" w:rsidP="00A54BE4">
            <w:pPr>
              <w:pStyle w:val="TableText"/>
              <w:tabs>
                <w:tab w:val="left" w:pos="384"/>
              </w:tabs>
              <w:snapToGrid w:val="0"/>
              <w:ind w:left="57" w:rightChars="71" w:right="142"/>
              <w:rPr>
                <w:i/>
                <w:lang w:eastAsia="it-IT"/>
              </w:rPr>
            </w:pPr>
            <w:r>
              <w:rPr>
                <w:i/>
                <w:lang w:eastAsia="it-IT"/>
              </w:rPr>
              <w:tab/>
            </w:r>
            <w:r w:rsidRPr="00350593">
              <w:rPr>
                <w:i/>
                <w:lang w:eastAsia="it-IT"/>
              </w:rPr>
              <w:t>Other wholesale funding</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ind w:left="57"/>
              <w:rPr>
                <w:sz w:val="16"/>
                <w:szCs w:val="16"/>
                <w:lang w:eastAsia="en-GB"/>
              </w:rPr>
            </w:pPr>
            <w:r>
              <w:rPr>
                <w:sz w:val="16"/>
                <w:szCs w:val="16"/>
                <w:lang w:eastAsia="en-GB"/>
              </w:rPr>
              <w:t>10</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4D2FAD" w:rsidRDefault="002A0515" w:rsidP="00A54BE4">
            <w:pPr>
              <w:pStyle w:val="TableText"/>
              <w:snapToGrid w:val="0"/>
              <w:ind w:left="57" w:rightChars="71" w:right="142"/>
              <w:rPr>
                <w:lang w:eastAsia="it-IT"/>
              </w:rPr>
            </w:pPr>
            <w:r w:rsidRPr="00350593">
              <w:rPr>
                <w:lang w:eastAsia="it-IT"/>
              </w:rPr>
              <w:t>Liabilities with</w:t>
            </w:r>
            <w:r>
              <w:rPr>
                <w:lang w:eastAsia="it-IT"/>
              </w:rPr>
              <w:t xml:space="preserve"> matching interdependent assets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Default="002A0515" w:rsidP="00A54BE4">
            <w:pPr>
              <w:pStyle w:val="TableText"/>
              <w:snapToGrid w:val="0"/>
              <w:ind w:left="57"/>
              <w:rPr>
                <w:sz w:val="16"/>
                <w:szCs w:val="16"/>
                <w:lang w:eastAsia="en-GB"/>
              </w:rPr>
            </w:pPr>
            <w:r>
              <w:rPr>
                <w:sz w:val="16"/>
                <w:szCs w:val="16"/>
                <w:lang w:eastAsia="en-GB"/>
              </w:rPr>
              <w:t>11</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50593" w:rsidRDefault="002A0515" w:rsidP="00A54BE4">
            <w:pPr>
              <w:pStyle w:val="TableText"/>
              <w:snapToGrid w:val="0"/>
              <w:ind w:left="57" w:rightChars="71" w:right="142"/>
              <w:rPr>
                <w:lang w:eastAsia="it-IT"/>
              </w:rPr>
            </w:pPr>
            <w:r>
              <w:rPr>
                <w:lang w:eastAsia="it-IT"/>
              </w:rPr>
              <w:t>Other liabilities: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tcPr>
          <w:p w:rsidR="002A0515" w:rsidRPr="0023654F" w:rsidRDefault="002A0515" w:rsidP="00A54BE4">
            <w:pPr>
              <w:pStyle w:val="TableText"/>
              <w:snapToGrid w:val="0"/>
              <w:ind w:left="57"/>
              <w:rPr>
                <w:sz w:val="16"/>
                <w:szCs w:val="16"/>
                <w:lang w:eastAsia="en-GB"/>
              </w:rPr>
            </w:pPr>
            <w:r>
              <w:rPr>
                <w:sz w:val="16"/>
                <w:szCs w:val="16"/>
                <w:lang w:eastAsia="en-GB"/>
              </w:rPr>
              <w:t>12</w:t>
            </w:r>
          </w:p>
        </w:tc>
        <w:tc>
          <w:tcPr>
            <w:tcW w:w="3643" w:type="dxa"/>
            <w:tcBorders>
              <w:top w:val="single" w:sz="4" w:space="0" w:color="auto"/>
              <w:left w:val="single" w:sz="4" w:space="0" w:color="auto"/>
              <w:bottom w:val="single" w:sz="4" w:space="0" w:color="auto"/>
              <w:right w:val="single" w:sz="4" w:space="0" w:color="auto"/>
            </w:tcBorders>
          </w:tcPr>
          <w:p w:rsidR="002A0515" w:rsidRPr="00475528" w:rsidRDefault="002A0515" w:rsidP="00A54BE4">
            <w:pPr>
              <w:pStyle w:val="TableText"/>
              <w:tabs>
                <w:tab w:val="left" w:pos="384"/>
              </w:tabs>
              <w:snapToGrid w:val="0"/>
              <w:ind w:left="57" w:rightChars="71" w:right="142"/>
              <w:rPr>
                <w:i/>
                <w:lang w:eastAsia="it-IT"/>
              </w:rPr>
            </w:pPr>
            <w:r>
              <w:rPr>
                <w:i/>
                <w:lang w:eastAsia="it-IT"/>
              </w:rPr>
              <w:tab/>
              <w:t xml:space="preserve">Net </w:t>
            </w:r>
            <w:r w:rsidRPr="00C940CE">
              <w:rPr>
                <w:i/>
                <w:lang w:eastAsia="it-IT"/>
              </w:rPr>
              <w:t>derivative liabilities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tcPr>
          <w:p w:rsidR="002A0515" w:rsidRPr="0023654F" w:rsidRDefault="002A0515" w:rsidP="00A54BE4">
            <w:pPr>
              <w:pStyle w:val="TableText"/>
              <w:snapToGrid w:val="0"/>
              <w:ind w:left="57"/>
              <w:rPr>
                <w:sz w:val="16"/>
                <w:szCs w:val="16"/>
                <w:lang w:eastAsia="en-GB"/>
              </w:rPr>
            </w:pPr>
            <w:r>
              <w:rPr>
                <w:sz w:val="16"/>
                <w:szCs w:val="16"/>
                <w:lang w:eastAsia="en-GB"/>
              </w:rPr>
              <w:t>13</w:t>
            </w:r>
          </w:p>
        </w:tc>
        <w:tc>
          <w:tcPr>
            <w:tcW w:w="3643" w:type="dxa"/>
            <w:tcBorders>
              <w:top w:val="single" w:sz="4" w:space="0" w:color="auto"/>
              <w:left w:val="single" w:sz="4" w:space="0" w:color="auto"/>
              <w:bottom w:val="single" w:sz="4" w:space="0" w:color="auto"/>
              <w:right w:val="single" w:sz="4" w:space="0" w:color="auto"/>
            </w:tcBorders>
          </w:tcPr>
          <w:p w:rsidR="002A0515" w:rsidRPr="00C940CE" w:rsidRDefault="002A0515" w:rsidP="00A54BE4">
            <w:pPr>
              <w:pStyle w:val="TableText"/>
              <w:snapToGrid w:val="0"/>
              <w:ind w:leftChars="28" w:left="382" w:rightChars="71" w:right="142" w:hangingChars="192" w:hanging="326"/>
              <w:rPr>
                <w:i/>
                <w:lang w:eastAsia="it-IT"/>
              </w:rPr>
            </w:pPr>
            <w:r>
              <w:rPr>
                <w:i/>
                <w:lang w:eastAsia="it-IT"/>
              </w:rPr>
              <w:tab/>
            </w:r>
            <w:r w:rsidRPr="00C940CE">
              <w:rPr>
                <w:i/>
                <w:lang w:eastAsia="it-IT"/>
              </w:rPr>
              <w:t xml:space="preserve">All other </w:t>
            </w:r>
            <w:r>
              <w:rPr>
                <w:i/>
                <w:lang w:eastAsia="it-IT"/>
              </w:rPr>
              <w:t xml:space="preserve">funding and </w:t>
            </w:r>
            <w:r w:rsidRPr="00C940CE">
              <w:rPr>
                <w:i/>
                <w:lang w:eastAsia="it-IT"/>
              </w:rPr>
              <w:t>liabilities not included i</w:t>
            </w:r>
            <w:r>
              <w:rPr>
                <w:i/>
                <w:lang w:eastAsia="it-IT"/>
              </w:rPr>
              <w:t>n the above categories</w:t>
            </w: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tcPr>
          <w:p w:rsidR="002A0515" w:rsidRPr="0023654F" w:rsidRDefault="002A0515" w:rsidP="00A54BE4">
            <w:pPr>
              <w:pStyle w:val="TableText"/>
              <w:snapToGrid w:val="0"/>
              <w:ind w:left="57"/>
              <w:rPr>
                <w:sz w:val="16"/>
                <w:szCs w:val="16"/>
                <w:lang w:eastAsia="en-GB"/>
              </w:rPr>
            </w:pPr>
            <w:r>
              <w:rPr>
                <w:sz w:val="16"/>
                <w:szCs w:val="16"/>
                <w:lang w:eastAsia="en-GB"/>
              </w:rPr>
              <w:t>14</w:t>
            </w:r>
          </w:p>
        </w:tc>
        <w:tc>
          <w:tcPr>
            <w:tcW w:w="3643" w:type="dxa"/>
            <w:tcBorders>
              <w:top w:val="single" w:sz="4" w:space="0" w:color="auto"/>
              <w:left w:val="single" w:sz="4" w:space="0" w:color="auto"/>
              <w:bottom w:val="single" w:sz="4" w:space="0" w:color="auto"/>
              <w:right w:val="single" w:sz="4" w:space="0" w:color="auto"/>
            </w:tcBorders>
          </w:tcPr>
          <w:p w:rsidR="002A0515" w:rsidRPr="00475528" w:rsidDel="001C71B9" w:rsidRDefault="002A0515" w:rsidP="00A54BE4">
            <w:pPr>
              <w:pStyle w:val="TableText"/>
              <w:snapToGrid w:val="0"/>
              <w:ind w:left="57" w:rightChars="71" w:right="142"/>
              <w:rPr>
                <w:i/>
                <w:lang w:eastAsia="it-IT"/>
              </w:rPr>
            </w:pPr>
            <w:r w:rsidRPr="00013E30">
              <w:rPr>
                <w:b/>
                <w:lang w:eastAsia="it-IT"/>
              </w:rPr>
              <w:t>Total ASF</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98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110" w:type="dxa"/>
            <w:gridSpan w:val="2"/>
            <w:tcBorders>
              <w:top w:val="single" w:sz="4" w:space="0" w:color="auto"/>
              <w:left w:val="nil"/>
              <w:bottom w:val="single" w:sz="4" w:space="0" w:color="auto"/>
              <w:right w:val="nil"/>
            </w:tcBorders>
            <w:shd w:val="clear" w:color="auto" w:fill="BFBFBF" w:themeFill="background1" w:themeFillShade="BF"/>
          </w:tcPr>
          <w:p w:rsidR="002A0515" w:rsidRDefault="002A0515" w:rsidP="002A0515">
            <w:pPr>
              <w:pStyle w:val="TableText"/>
              <w:numPr>
                <w:ilvl w:val="0"/>
                <w:numId w:val="82"/>
              </w:numPr>
              <w:snapToGrid w:val="0"/>
              <w:ind w:rightChars="71" w:right="142"/>
              <w:rPr>
                <w:b/>
                <w:bCs/>
                <w:sz w:val="20"/>
              </w:rPr>
            </w:pPr>
            <w:r>
              <w:rPr>
                <w:b/>
                <w:lang w:eastAsia="it-IT"/>
              </w:rPr>
              <w:t>Required stable funding (“RSF”) item</w:t>
            </w:r>
          </w:p>
        </w:tc>
        <w:tc>
          <w:tcPr>
            <w:tcW w:w="992" w:type="dxa"/>
            <w:tcBorders>
              <w:top w:val="single" w:sz="4" w:space="0" w:color="auto"/>
              <w:left w:val="nil"/>
              <w:bottom w:val="single" w:sz="4" w:space="0" w:color="auto"/>
              <w:right w:val="nil"/>
            </w:tcBorders>
            <w:shd w:val="clear" w:color="auto" w:fill="BFBFBF" w:themeFill="background1" w:themeFillShade="BF"/>
          </w:tcPr>
          <w:p w:rsidR="002A0515" w:rsidRPr="0023654F" w:rsidRDefault="002A0515" w:rsidP="00A54BE4">
            <w:pPr>
              <w:pStyle w:val="TableText"/>
              <w:snapToGrid w:val="0"/>
              <w:rPr>
                <w:lang w:eastAsia="it-IT"/>
              </w:rPr>
            </w:pPr>
          </w:p>
        </w:tc>
        <w:tc>
          <w:tcPr>
            <w:tcW w:w="985" w:type="dxa"/>
            <w:tcBorders>
              <w:top w:val="single" w:sz="4" w:space="0" w:color="auto"/>
              <w:left w:val="nil"/>
              <w:bottom w:val="single" w:sz="4" w:space="0" w:color="auto"/>
              <w:right w:val="nil"/>
            </w:tcBorders>
            <w:shd w:val="clear" w:color="auto" w:fill="BFBFBF" w:themeFill="background1" w:themeFillShade="BF"/>
          </w:tcPr>
          <w:p w:rsidR="002A0515" w:rsidRPr="0023654F" w:rsidRDefault="002A0515" w:rsidP="00A54BE4">
            <w:pPr>
              <w:pStyle w:val="TableText"/>
              <w:snapToGrid w:val="0"/>
              <w:rPr>
                <w:lang w:eastAsia="it-IT"/>
              </w:rPr>
            </w:pPr>
          </w:p>
        </w:tc>
        <w:tc>
          <w:tcPr>
            <w:tcW w:w="992" w:type="dxa"/>
            <w:tcBorders>
              <w:top w:val="single" w:sz="4" w:space="0" w:color="auto"/>
              <w:left w:val="nil"/>
              <w:bottom w:val="single" w:sz="4" w:space="0" w:color="auto"/>
              <w:right w:val="nil"/>
            </w:tcBorders>
            <w:shd w:val="clear" w:color="auto" w:fill="BFBFBF" w:themeFill="background1" w:themeFillShade="BF"/>
          </w:tcPr>
          <w:p w:rsidR="002A0515" w:rsidRPr="0023654F" w:rsidRDefault="002A0515" w:rsidP="00A54BE4">
            <w:pPr>
              <w:pStyle w:val="TableText"/>
              <w:snapToGrid w:val="0"/>
              <w:rPr>
                <w:lang w:eastAsia="it-IT"/>
              </w:rPr>
            </w:pPr>
          </w:p>
        </w:tc>
        <w:tc>
          <w:tcPr>
            <w:tcW w:w="993" w:type="dxa"/>
            <w:tcBorders>
              <w:top w:val="single" w:sz="4" w:space="0" w:color="auto"/>
              <w:left w:val="nil"/>
              <w:bottom w:val="single" w:sz="4" w:space="0" w:color="auto"/>
              <w:right w:val="nil"/>
            </w:tcBorders>
            <w:shd w:val="clear" w:color="auto" w:fill="BFBFBF" w:themeFill="background1" w:themeFillShade="BF"/>
          </w:tcPr>
          <w:p w:rsidR="002A0515" w:rsidRPr="0023654F" w:rsidRDefault="002A0515" w:rsidP="00A54BE4">
            <w:pPr>
              <w:pStyle w:val="TableText"/>
              <w:snapToGrid w:val="0"/>
              <w:rPr>
                <w:lang w:eastAsia="it-IT"/>
              </w:rPr>
            </w:pPr>
          </w:p>
        </w:tc>
        <w:tc>
          <w:tcPr>
            <w:tcW w:w="1001" w:type="dxa"/>
            <w:tcBorders>
              <w:top w:val="single" w:sz="4" w:space="0" w:color="auto"/>
              <w:left w:val="nil"/>
              <w:bottom w:val="single" w:sz="4" w:space="0" w:color="auto"/>
              <w:right w:val="single" w:sz="4" w:space="0" w:color="auto"/>
            </w:tcBorders>
            <w:shd w:val="clear" w:color="auto" w:fill="BFBFBF" w:themeFill="background1" w:themeFillShade="BF"/>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ind w:left="57"/>
              <w:rPr>
                <w:sz w:val="16"/>
                <w:szCs w:val="16"/>
                <w:lang w:eastAsia="en-GB"/>
              </w:rPr>
            </w:pPr>
            <w:r>
              <w:rPr>
                <w:sz w:val="16"/>
                <w:szCs w:val="16"/>
                <w:lang w:eastAsia="en-GB"/>
              </w:rPr>
              <w:t>15</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02A50" w:rsidRDefault="002A0515" w:rsidP="00A54BE4">
            <w:pPr>
              <w:pStyle w:val="TableText"/>
              <w:snapToGrid w:val="0"/>
              <w:ind w:left="57" w:rightChars="71" w:right="142"/>
              <w:rPr>
                <w:lang w:eastAsia="it-IT"/>
              </w:rPr>
            </w:pPr>
            <w:r w:rsidRPr="00202A50">
              <w:rPr>
                <w:lang w:eastAsia="it-IT"/>
              </w:rPr>
              <w:t xml:space="preserve">Total </w:t>
            </w:r>
            <w:r>
              <w:rPr>
                <w:lang w:eastAsia="it-IT"/>
              </w:rPr>
              <w:t>HQLA for NSFR purposes</w:t>
            </w:r>
          </w:p>
        </w:tc>
        <w:tc>
          <w:tcPr>
            <w:tcW w:w="3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ind w:left="57"/>
              <w:rPr>
                <w:sz w:val="16"/>
                <w:szCs w:val="16"/>
                <w:lang w:eastAsia="en-GB"/>
              </w:rPr>
            </w:pPr>
            <w:r>
              <w:rPr>
                <w:sz w:val="16"/>
                <w:szCs w:val="16"/>
                <w:lang w:eastAsia="en-GB"/>
              </w:rPr>
              <w:t>16</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02A50" w:rsidRDefault="002A0515" w:rsidP="00A54BE4">
            <w:pPr>
              <w:pStyle w:val="TableText"/>
              <w:snapToGrid w:val="0"/>
              <w:ind w:left="57" w:rightChars="71" w:right="142"/>
              <w:rPr>
                <w:lang w:eastAsia="it-IT"/>
              </w:rPr>
            </w:pPr>
            <w:r w:rsidRPr="00202A50">
              <w:rPr>
                <w:lang w:eastAsia="it-IT"/>
              </w:rPr>
              <w:t>Deposits held at other financial institutions for operational pur</w:t>
            </w:r>
            <w:r>
              <w:rPr>
                <w:lang w:eastAsia="it-IT"/>
              </w:rPr>
              <w:t>poses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ind w:left="57"/>
              <w:rPr>
                <w:sz w:val="16"/>
                <w:szCs w:val="16"/>
                <w:lang w:eastAsia="en-GB"/>
              </w:rPr>
            </w:pPr>
            <w:r>
              <w:rPr>
                <w:sz w:val="16"/>
                <w:szCs w:val="16"/>
                <w:lang w:eastAsia="en-GB"/>
              </w:rPr>
              <w:t>17</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595C1F" w:rsidRDefault="002A0515" w:rsidP="00A54BE4">
            <w:pPr>
              <w:pStyle w:val="TableText"/>
              <w:snapToGrid w:val="0"/>
              <w:ind w:left="57" w:rightChars="71" w:right="142"/>
              <w:rPr>
                <w:lang w:eastAsia="it-IT"/>
              </w:rPr>
            </w:pPr>
            <w:r w:rsidRPr="00202A50">
              <w:rPr>
                <w:lang w:eastAsia="it-IT"/>
              </w:rPr>
              <w:t>P</w:t>
            </w:r>
            <w:r>
              <w:rPr>
                <w:lang w:eastAsia="it-IT"/>
              </w:rPr>
              <w:t>erforming loans and securities: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18</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D5121" w:rsidRDefault="002A0515" w:rsidP="00A54BE4">
            <w:pPr>
              <w:pStyle w:val="TableText"/>
              <w:snapToGrid w:val="0"/>
              <w:ind w:leftChars="28" w:left="382" w:rightChars="71" w:right="142" w:hangingChars="192" w:hanging="326"/>
              <w:rPr>
                <w:i/>
                <w:lang w:eastAsia="it-IT"/>
              </w:rPr>
            </w:pPr>
            <w:r>
              <w:rPr>
                <w:i/>
                <w:lang w:eastAsia="it-IT"/>
              </w:rPr>
              <w:tab/>
            </w:r>
            <w:r w:rsidRPr="003D5121">
              <w:rPr>
                <w:i/>
                <w:lang w:eastAsia="it-IT"/>
              </w:rPr>
              <w:t xml:space="preserve">Performing loans to financial institutions secured by Level 1 HQLA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19</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D5121" w:rsidRDefault="002A0515" w:rsidP="00A54BE4">
            <w:pPr>
              <w:pStyle w:val="TableText"/>
              <w:snapToGrid w:val="0"/>
              <w:ind w:leftChars="28" w:left="382" w:rightChars="71" w:right="142" w:hangingChars="192" w:hanging="326"/>
              <w:rPr>
                <w:i/>
                <w:lang w:eastAsia="it-IT"/>
              </w:rPr>
            </w:pPr>
            <w:r>
              <w:rPr>
                <w:i/>
                <w:lang w:eastAsia="it-IT"/>
              </w:rPr>
              <w:tab/>
            </w:r>
            <w:r w:rsidRPr="003D5121">
              <w:rPr>
                <w:i/>
                <w:lang w:eastAsia="it-IT"/>
              </w:rPr>
              <w:t xml:space="preserve">Performing loans to financial institutions secured by non-Level 1 HQLA and unsecured performing loans to financial institutions </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20</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D5121" w:rsidRDefault="002A0515" w:rsidP="00A54BE4">
            <w:pPr>
              <w:pStyle w:val="TableText"/>
              <w:snapToGrid w:val="0"/>
              <w:ind w:leftChars="28" w:left="382" w:rightChars="71" w:right="142" w:hangingChars="192" w:hanging="326"/>
              <w:rPr>
                <w:i/>
                <w:lang w:eastAsia="it-IT"/>
              </w:rPr>
            </w:pPr>
            <w:r>
              <w:rPr>
                <w:i/>
                <w:lang w:eastAsia="it-IT"/>
              </w:rPr>
              <w:tab/>
              <w:t xml:space="preserve">Performing </w:t>
            </w:r>
            <w:r w:rsidRPr="003D5121">
              <w:rPr>
                <w:i/>
                <w:lang w:eastAsia="it-IT"/>
              </w:rPr>
              <w:t>loans</w:t>
            </w:r>
            <w:r>
              <w:rPr>
                <w:i/>
                <w:lang w:eastAsia="it-IT"/>
              </w:rPr>
              <w:t>, other than performing residential mortgage,</w:t>
            </w:r>
            <w:r w:rsidRPr="003D5121">
              <w:rPr>
                <w:i/>
                <w:lang w:eastAsia="it-IT"/>
              </w:rPr>
              <w:t xml:space="preserve"> to non-financial corporate clients, retail and small business customers, sovereigns, </w:t>
            </w:r>
            <w:r>
              <w:rPr>
                <w:i/>
                <w:lang w:eastAsia="it-IT"/>
              </w:rPr>
              <w:t xml:space="preserve">the Monetary Authority for the account of the Exchange Fund, </w:t>
            </w:r>
            <w:r w:rsidRPr="003D5121">
              <w:rPr>
                <w:i/>
                <w:lang w:eastAsia="it-IT"/>
              </w:rPr>
              <w:t>ce</w:t>
            </w:r>
            <w:r>
              <w:rPr>
                <w:i/>
                <w:lang w:eastAsia="it-IT"/>
              </w:rPr>
              <w:t>ntral banks and PSEs, of which: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21</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02A50" w:rsidRDefault="002A0515" w:rsidP="00A54BE4">
            <w:pPr>
              <w:pStyle w:val="TableText"/>
              <w:tabs>
                <w:tab w:val="left" w:pos="667"/>
              </w:tabs>
              <w:snapToGrid w:val="0"/>
              <w:ind w:leftChars="192" w:left="666" w:rightChars="71" w:right="142" w:hangingChars="166" w:hanging="282"/>
              <w:rPr>
                <w:i/>
                <w:lang w:eastAsia="it-IT"/>
              </w:rPr>
            </w:pPr>
            <w:r>
              <w:rPr>
                <w:i/>
                <w:lang w:eastAsia="it-IT"/>
              </w:rPr>
              <w:tab/>
            </w:r>
            <w:r w:rsidRPr="00202A50">
              <w:rPr>
                <w:i/>
                <w:lang w:eastAsia="it-IT"/>
              </w:rPr>
              <w:t xml:space="preserve">With a </w:t>
            </w:r>
            <w:r>
              <w:rPr>
                <w:i/>
                <w:lang w:eastAsia="it-IT"/>
              </w:rPr>
              <w:t xml:space="preserve">risk-weight </w:t>
            </w:r>
            <w:r w:rsidRPr="00202A50">
              <w:rPr>
                <w:i/>
                <w:lang w:eastAsia="it-IT"/>
              </w:rPr>
              <w:t xml:space="preserve">of less than or equal to 35% under the </w:t>
            </w:r>
            <w:r>
              <w:rPr>
                <w:i/>
                <w:lang w:eastAsia="it-IT"/>
              </w:rPr>
              <w:t>STC approach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22</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Default="002A0515" w:rsidP="00A54BE4">
            <w:pPr>
              <w:pStyle w:val="TableText"/>
              <w:tabs>
                <w:tab w:val="left" w:pos="667"/>
              </w:tabs>
              <w:snapToGrid w:val="0"/>
              <w:ind w:leftChars="192" w:left="666" w:rightChars="71" w:right="142" w:hangingChars="166" w:hanging="282"/>
              <w:rPr>
                <w:i/>
                <w:lang w:eastAsia="it-IT"/>
              </w:rPr>
            </w:pPr>
            <w:r>
              <w:rPr>
                <w:i/>
                <w:lang w:eastAsia="it-IT"/>
              </w:rPr>
              <w:t>Performing residential mortgages, of which: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23</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Default="002A0515" w:rsidP="00A54BE4">
            <w:pPr>
              <w:pStyle w:val="TableText"/>
              <w:tabs>
                <w:tab w:val="left" w:pos="667"/>
              </w:tabs>
              <w:snapToGrid w:val="0"/>
              <w:ind w:leftChars="192" w:left="666" w:rightChars="71" w:right="142" w:hangingChars="166" w:hanging="282"/>
              <w:rPr>
                <w:i/>
                <w:lang w:eastAsia="it-IT"/>
              </w:rPr>
            </w:pPr>
            <w:r>
              <w:rPr>
                <w:i/>
                <w:lang w:eastAsia="it-IT"/>
              </w:rPr>
              <w:tab/>
            </w:r>
            <w:r w:rsidRPr="00F9513B">
              <w:rPr>
                <w:i/>
                <w:lang w:eastAsia="it-IT"/>
              </w:rPr>
              <w:t xml:space="preserve">With a risk-weight of less than or equal to 35% under the </w:t>
            </w:r>
            <w:r>
              <w:rPr>
                <w:i/>
                <w:lang w:eastAsia="it-IT"/>
              </w:rPr>
              <w:t>STC</w:t>
            </w:r>
            <w:r w:rsidRPr="00F9513B">
              <w:rPr>
                <w:i/>
                <w:lang w:eastAsia="it-IT"/>
              </w:rPr>
              <w:t xml:space="preserve"> approach</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24</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D5121" w:rsidRDefault="002A0515" w:rsidP="00A54BE4">
            <w:pPr>
              <w:pStyle w:val="TableText"/>
              <w:snapToGrid w:val="0"/>
              <w:ind w:leftChars="28" w:left="382" w:rightChars="71" w:right="142" w:hangingChars="192" w:hanging="326"/>
              <w:rPr>
                <w:lang w:val="en-US" w:eastAsia="it-IT"/>
              </w:rPr>
            </w:pPr>
            <w:r>
              <w:rPr>
                <w:i/>
                <w:lang w:eastAsia="it-IT"/>
              </w:rPr>
              <w:tab/>
            </w:r>
            <w:r w:rsidRPr="00202A50">
              <w:rPr>
                <w:i/>
                <w:lang w:eastAsia="it-IT"/>
              </w:rPr>
              <w:t>Securities that are not in default and do not qualify as HQLA, inc</w:t>
            </w:r>
            <w:r>
              <w:rPr>
                <w:i/>
                <w:lang w:eastAsia="it-IT"/>
              </w:rPr>
              <w:t>luding exchange-traded equities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bookmarkStart w:id="5" w:name="_GoBack"/>
            <w:bookmarkEnd w:id="5"/>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Default="002A0515" w:rsidP="00A54BE4">
            <w:pPr>
              <w:pStyle w:val="TableText"/>
              <w:snapToGrid w:val="0"/>
              <w:ind w:left="57"/>
              <w:rPr>
                <w:sz w:val="16"/>
                <w:szCs w:val="16"/>
                <w:lang w:eastAsia="en-GB"/>
              </w:rPr>
            </w:pPr>
            <w:r>
              <w:rPr>
                <w:sz w:val="16"/>
                <w:szCs w:val="16"/>
                <w:lang w:eastAsia="en-GB"/>
              </w:rPr>
              <w:t>25</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595C1F" w:rsidRDefault="002A0515" w:rsidP="00A54BE4">
            <w:pPr>
              <w:pStyle w:val="TableText"/>
              <w:snapToGrid w:val="0"/>
              <w:ind w:left="57" w:rightChars="71" w:right="142"/>
              <w:rPr>
                <w:lang w:eastAsia="it-IT"/>
              </w:rPr>
            </w:pPr>
            <w:r w:rsidRPr="00202A50">
              <w:rPr>
                <w:lang w:eastAsia="it-IT"/>
              </w:rPr>
              <w:t>Assets with matc</w:t>
            </w:r>
            <w:r>
              <w:rPr>
                <w:lang w:eastAsia="it-IT"/>
              </w:rPr>
              <w:t>hing interdependent liabilities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Default="002A0515" w:rsidP="00A54BE4">
            <w:pPr>
              <w:pStyle w:val="TableText"/>
              <w:snapToGrid w:val="0"/>
              <w:ind w:left="57"/>
              <w:rPr>
                <w:sz w:val="16"/>
                <w:szCs w:val="16"/>
                <w:lang w:eastAsia="en-GB"/>
              </w:rPr>
            </w:pPr>
            <w:r>
              <w:rPr>
                <w:sz w:val="16"/>
                <w:szCs w:val="16"/>
                <w:lang w:eastAsia="en-GB"/>
              </w:rPr>
              <w:t>26</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595C1F" w:rsidRDefault="002A0515" w:rsidP="00A54BE4">
            <w:pPr>
              <w:pStyle w:val="TableText"/>
              <w:snapToGrid w:val="0"/>
              <w:ind w:left="57" w:rightChars="71" w:right="142"/>
              <w:rPr>
                <w:lang w:eastAsia="it-IT"/>
              </w:rPr>
            </w:pPr>
            <w:r>
              <w:rPr>
                <w:lang w:eastAsia="it-IT"/>
              </w:rPr>
              <w:t>Other assets: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27</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02A50" w:rsidRDefault="002A0515" w:rsidP="00A54BE4">
            <w:pPr>
              <w:pStyle w:val="TableText"/>
              <w:snapToGrid w:val="0"/>
              <w:ind w:leftChars="28" w:left="382" w:rightChars="71" w:right="142" w:hangingChars="192" w:hanging="326"/>
              <w:rPr>
                <w:i/>
                <w:lang w:eastAsia="it-IT"/>
              </w:rPr>
            </w:pPr>
            <w:r>
              <w:rPr>
                <w:i/>
                <w:lang w:eastAsia="it-IT"/>
              </w:rPr>
              <w:tab/>
            </w:r>
            <w:r w:rsidRPr="00202A50">
              <w:rPr>
                <w:i/>
                <w:lang w:eastAsia="it-IT"/>
              </w:rPr>
              <w:t>Physical traded commoditie</w:t>
            </w:r>
            <w:r>
              <w:rPr>
                <w:i/>
                <w:lang w:eastAsia="it-IT"/>
              </w:rPr>
              <w:t>s, including gold</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28</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02A50" w:rsidRDefault="002A0515" w:rsidP="00A54BE4">
            <w:pPr>
              <w:pStyle w:val="TableText"/>
              <w:snapToGrid w:val="0"/>
              <w:ind w:leftChars="28" w:left="382" w:rightChars="71" w:right="142" w:hangingChars="192" w:hanging="326"/>
              <w:rPr>
                <w:i/>
                <w:lang w:eastAsia="it-IT"/>
              </w:rPr>
            </w:pPr>
            <w:r>
              <w:rPr>
                <w:i/>
                <w:lang w:eastAsia="it-IT"/>
              </w:rPr>
              <w:tab/>
            </w:r>
            <w:r w:rsidRPr="00202A50">
              <w:rPr>
                <w:i/>
                <w:lang w:eastAsia="it-IT"/>
              </w:rPr>
              <w:t>Assets posted as initial margin for derivative contracts and contrib</w:t>
            </w:r>
            <w:r>
              <w:rPr>
                <w:i/>
                <w:lang w:eastAsia="it-IT"/>
              </w:rPr>
              <w:t>utions to default funds of CCPs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A0515" w:rsidRPr="002510C1"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8D4929" w:rsidRDefault="002A0515" w:rsidP="00A54BE4">
            <w:pPr>
              <w:ind w:firstLineChars="200" w:firstLine="340"/>
              <w:rPr>
                <w:sz w:val="17"/>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8D4929" w:rsidRDefault="002A0515" w:rsidP="00A54BE4">
            <w:pPr>
              <w:ind w:firstLineChars="200" w:firstLine="340"/>
              <w:rPr>
                <w:sz w:val="17"/>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29</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02A50" w:rsidRDefault="002A0515" w:rsidP="00A54BE4">
            <w:pPr>
              <w:pStyle w:val="TableText"/>
              <w:snapToGrid w:val="0"/>
              <w:ind w:leftChars="28" w:left="382" w:rightChars="71" w:right="142" w:hangingChars="192" w:hanging="326"/>
              <w:rPr>
                <w:i/>
                <w:lang w:eastAsia="it-IT"/>
              </w:rPr>
            </w:pPr>
            <w:r>
              <w:rPr>
                <w:i/>
                <w:lang w:eastAsia="it-IT"/>
              </w:rPr>
              <w:tab/>
              <w:t>Net derivative assets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30</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02A50" w:rsidRDefault="002A0515" w:rsidP="00A54BE4">
            <w:pPr>
              <w:pStyle w:val="TableText"/>
              <w:snapToGrid w:val="0"/>
              <w:ind w:leftChars="28" w:left="382" w:rightChars="71" w:right="142" w:hangingChars="192" w:hanging="326"/>
              <w:rPr>
                <w:i/>
                <w:lang w:eastAsia="it-IT"/>
              </w:rPr>
            </w:pPr>
            <w:r>
              <w:rPr>
                <w:i/>
                <w:lang w:eastAsia="it-IT"/>
              </w:rPr>
              <w:tab/>
              <w:t xml:space="preserve">Total </w:t>
            </w:r>
            <w:r w:rsidRPr="00202A50">
              <w:rPr>
                <w:i/>
                <w:lang w:eastAsia="it-IT"/>
              </w:rPr>
              <w:t xml:space="preserve">derivative liabilities before </w:t>
            </w:r>
            <w:r>
              <w:rPr>
                <w:i/>
                <w:lang w:eastAsia="it-IT"/>
              </w:rPr>
              <w:t xml:space="preserve">adjustments for </w:t>
            </w:r>
            <w:r w:rsidRPr="00202A50">
              <w:rPr>
                <w:i/>
                <w:lang w:eastAsia="it-IT"/>
              </w:rPr>
              <w:t>deduc</w:t>
            </w:r>
            <w:r>
              <w:rPr>
                <w:i/>
                <w:lang w:eastAsia="it-IT"/>
              </w:rPr>
              <w:t>tion of variation margin posted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31</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02A50" w:rsidRDefault="002A0515" w:rsidP="00A54BE4">
            <w:pPr>
              <w:pStyle w:val="TableText"/>
              <w:snapToGrid w:val="0"/>
              <w:ind w:leftChars="28" w:left="382" w:rightChars="71" w:right="142" w:hangingChars="192" w:hanging="326"/>
              <w:rPr>
                <w:i/>
                <w:lang w:eastAsia="it-IT"/>
              </w:rPr>
            </w:pPr>
            <w:r>
              <w:rPr>
                <w:i/>
                <w:lang w:eastAsia="it-IT"/>
              </w:rPr>
              <w:tab/>
            </w:r>
            <w:r w:rsidRPr="00202A50">
              <w:rPr>
                <w:i/>
                <w:lang w:eastAsia="it-IT"/>
              </w:rPr>
              <w:t>All other assets not i</w:t>
            </w:r>
            <w:r>
              <w:rPr>
                <w:i/>
                <w:lang w:eastAsia="it-IT"/>
              </w:rPr>
              <w:t>ncluded in the above categories</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2F2F2" w:themeFill="background1" w:themeFillShade="F2"/>
          </w:tcPr>
          <w:p w:rsidR="002A0515" w:rsidRDefault="002A0515" w:rsidP="00A54BE4">
            <w:pPr>
              <w:pStyle w:val="TableText"/>
              <w:snapToGrid w:val="0"/>
              <w:ind w:left="57"/>
              <w:rPr>
                <w:sz w:val="16"/>
                <w:szCs w:val="16"/>
                <w:lang w:eastAsia="en-GB"/>
              </w:rPr>
            </w:pPr>
            <w:r>
              <w:rPr>
                <w:sz w:val="16"/>
                <w:szCs w:val="16"/>
                <w:lang w:eastAsia="en-GB"/>
              </w:rPr>
              <w:t>32</w:t>
            </w:r>
          </w:p>
        </w:tc>
        <w:tc>
          <w:tcPr>
            <w:tcW w:w="3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02A50" w:rsidRDefault="002A0515" w:rsidP="00A54BE4">
            <w:pPr>
              <w:pStyle w:val="TableText"/>
              <w:snapToGrid w:val="0"/>
              <w:ind w:left="57" w:rightChars="71" w:right="142"/>
              <w:rPr>
                <w:lang w:eastAsia="it-IT"/>
              </w:rPr>
            </w:pPr>
            <w:r>
              <w:rPr>
                <w:lang w:eastAsia="it-IT"/>
              </w:rPr>
              <w:t>Off-balance sheet items</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29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33</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02A50" w:rsidRDefault="002A0515" w:rsidP="00A54BE4">
            <w:pPr>
              <w:pStyle w:val="TableText"/>
              <w:snapToGrid w:val="0"/>
              <w:ind w:left="57" w:rightChars="71" w:right="142"/>
              <w:rPr>
                <w:i/>
                <w:iCs/>
                <w:szCs w:val="17"/>
              </w:rPr>
            </w:pPr>
            <w:r>
              <w:rPr>
                <w:b/>
                <w:bCs/>
                <w:szCs w:val="17"/>
              </w:rPr>
              <w:t>Total RSF</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70"/>
        </w:trPr>
        <w:tc>
          <w:tcPr>
            <w:tcW w:w="467" w:type="dxa"/>
            <w:tcBorders>
              <w:top w:val="single" w:sz="4" w:space="0" w:color="auto"/>
              <w:left w:val="nil"/>
              <w:bottom w:val="single" w:sz="4" w:space="0" w:color="auto"/>
              <w:right w:val="single" w:sz="4" w:space="0" w:color="auto"/>
            </w:tcBorders>
            <w:shd w:val="clear" w:color="auto" w:fill="FFFFFF" w:themeFill="background1"/>
          </w:tcPr>
          <w:p w:rsidR="002A0515" w:rsidRDefault="002A0515" w:rsidP="00A54BE4">
            <w:pPr>
              <w:pStyle w:val="TableText"/>
              <w:snapToGrid w:val="0"/>
              <w:ind w:left="57"/>
              <w:rPr>
                <w:sz w:val="16"/>
                <w:szCs w:val="16"/>
                <w:lang w:eastAsia="en-GB"/>
              </w:rPr>
            </w:pPr>
            <w:r>
              <w:rPr>
                <w:sz w:val="16"/>
                <w:szCs w:val="16"/>
                <w:lang w:eastAsia="en-GB"/>
              </w:rPr>
              <w:t>34</w:t>
            </w:r>
          </w:p>
        </w:tc>
        <w:tc>
          <w:tcPr>
            <w:tcW w:w="3643"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02A50" w:rsidRDefault="002A0515" w:rsidP="00A54BE4">
            <w:pPr>
              <w:pStyle w:val="TableText"/>
              <w:snapToGrid w:val="0"/>
              <w:ind w:left="57" w:rightChars="71" w:right="142"/>
              <w:rPr>
                <w:szCs w:val="17"/>
                <w:lang w:eastAsia="it-IT"/>
              </w:rPr>
            </w:pPr>
            <w:r>
              <w:rPr>
                <w:b/>
                <w:bCs/>
                <w:szCs w:val="17"/>
              </w:rPr>
              <w:t>Net Stable Funding Ratio (%)</w:t>
            </w:r>
          </w:p>
        </w:tc>
        <w:tc>
          <w:tcPr>
            <w:tcW w:w="99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8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A0515" w:rsidRPr="003B53ED" w:rsidRDefault="002A0515" w:rsidP="00A54BE4">
            <w:pPr>
              <w:pStyle w:val="TableText"/>
              <w:snapToGrid w:val="0"/>
              <w:ind w:left="57"/>
              <w:rPr>
                <w:lang w:eastAsia="it-IT"/>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rsidR="002A0515" w:rsidRPr="0023654F" w:rsidRDefault="002A0515" w:rsidP="00A54BE4">
            <w:pPr>
              <w:pStyle w:val="TableText"/>
              <w:snapToGrid w:val="0"/>
              <w:rPr>
                <w:lang w:eastAsia="it-IT"/>
              </w:rPr>
            </w:pPr>
          </w:p>
        </w:tc>
      </w:tr>
      <w:tr w:rsidR="002A0515" w:rsidRPr="0023654F" w:rsidTr="00A54BE4">
        <w:trPr>
          <w:cantSplit/>
          <w:trHeight w:val="230"/>
        </w:trPr>
        <w:tc>
          <w:tcPr>
            <w:tcW w:w="9073" w:type="dxa"/>
            <w:gridSpan w:val="7"/>
            <w:tcBorders>
              <w:top w:val="single" w:sz="4" w:space="0" w:color="auto"/>
              <w:left w:val="nil"/>
              <w:bottom w:val="single" w:sz="6" w:space="0" w:color="auto"/>
              <w:right w:val="single" w:sz="6" w:space="0" w:color="auto"/>
            </w:tcBorders>
            <w:shd w:val="clear" w:color="auto" w:fill="FFFFFF" w:themeFill="background1"/>
          </w:tcPr>
          <w:p w:rsidR="002A0515" w:rsidRPr="00182DB9" w:rsidRDefault="002A0515" w:rsidP="00A54BE4">
            <w:pPr>
              <w:pStyle w:val="TableText"/>
              <w:snapToGrid w:val="0"/>
              <w:spacing w:line="240" w:lineRule="exact"/>
              <w:rPr>
                <w:rFonts w:cs="Segoe UI"/>
                <w:i/>
                <w:szCs w:val="17"/>
                <w:lang w:eastAsia="it-IT"/>
              </w:rPr>
            </w:pPr>
            <w:r w:rsidRPr="00182DB9">
              <w:rPr>
                <w:rFonts w:cs="Segoe UI"/>
                <w:i/>
                <w:szCs w:val="17"/>
                <w:lang w:eastAsia="it-IT"/>
              </w:rPr>
              <w:t>Points to note:</w:t>
            </w:r>
          </w:p>
          <w:p w:rsidR="002A0515" w:rsidRPr="00182DB9" w:rsidRDefault="002A0515" w:rsidP="002A0515">
            <w:pPr>
              <w:pStyle w:val="ListParagraph"/>
              <w:widowControl w:val="0"/>
              <w:numPr>
                <w:ilvl w:val="0"/>
                <w:numId w:val="78"/>
              </w:numPr>
              <w:tabs>
                <w:tab w:val="left" w:pos="426"/>
              </w:tabs>
              <w:autoSpaceDE w:val="0"/>
              <w:autoSpaceDN w:val="0"/>
              <w:adjustRightInd w:val="0"/>
              <w:spacing w:line="240" w:lineRule="exact"/>
              <w:ind w:leftChars="0" w:left="426" w:rightChars="71" w:right="142" w:hanging="426"/>
              <w:jc w:val="both"/>
              <w:rPr>
                <w:rFonts w:cs="Segoe UI"/>
                <w:i/>
                <w:sz w:val="17"/>
                <w:szCs w:val="17"/>
                <w:lang w:eastAsia="it-IT"/>
              </w:rPr>
            </w:pPr>
            <w:r w:rsidRPr="00182DB9">
              <w:rPr>
                <w:rFonts w:cs="Segoe UI"/>
                <w:i/>
                <w:sz w:val="17"/>
                <w:szCs w:val="17"/>
                <w:lang w:eastAsia="it-IT"/>
              </w:rPr>
              <w:t>the rows without a numerical row number introduce a section of the NSFR template (i.e. ASF and RSF) and do not require any value to be input;</w:t>
            </w:r>
          </w:p>
          <w:p w:rsidR="002A0515" w:rsidRPr="00182DB9" w:rsidRDefault="002A0515" w:rsidP="002A0515">
            <w:pPr>
              <w:pStyle w:val="ListParagraph"/>
              <w:widowControl w:val="0"/>
              <w:numPr>
                <w:ilvl w:val="0"/>
                <w:numId w:val="78"/>
              </w:numPr>
              <w:tabs>
                <w:tab w:val="left" w:pos="426"/>
              </w:tabs>
              <w:autoSpaceDE w:val="0"/>
              <w:autoSpaceDN w:val="0"/>
              <w:adjustRightInd w:val="0"/>
              <w:spacing w:line="240" w:lineRule="exact"/>
              <w:ind w:leftChars="0" w:left="426" w:rightChars="71" w:right="142" w:hanging="426"/>
              <w:jc w:val="both"/>
              <w:rPr>
                <w:rFonts w:cs="Segoe UI"/>
                <w:i/>
                <w:sz w:val="17"/>
                <w:szCs w:val="17"/>
                <w:lang w:eastAsia="it-IT"/>
              </w:rPr>
            </w:pPr>
            <w:r w:rsidRPr="00182DB9">
              <w:rPr>
                <w:rFonts w:cs="Segoe UI"/>
                <w:i/>
                <w:sz w:val="17"/>
                <w:szCs w:val="17"/>
                <w:lang w:eastAsia="it-IT"/>
              </w:rPr>
              <w:t>the disclosure items shaded in light grey (e.g. rows 1, 4, 7, 10, 11) represent a broad sub-component category of the NSFR in the relevant section;</w:t>
            </w:r>
          </w:p>
          <w:p w:rsidR="002A0515" w:rsidRPr="00182DB9" w:rsidRDefault="002A0515" w:rsidP="002A0515">
            <w:pPr>
              <w:pStyle w:val="ListParagraph"/>
              <w:widowControl w:val="0"/>
              <w:numPr>
                <w:ilvl w:val="0"/>
                <w:numId w:val="78"/>
              </w:numPr>
              <w:tabs>
                <w:tab w:val="left" w:pos="426"/>
              </w:tabs>
              <w:autoSpaceDE w:val="0"/>
              <w:autoSpaceDN w:val="0"/>
              <w:adjustRightInd w:val="0"/>
              <w:spacing w:line="240" w:lineRule="exact"/>
              <w:ind w:leftChars="0" w:left="426" w:rightChars="71" w:right="142" w:hanging="426"/>
              <w:jc w:val="both"/>
              <w:rPr>
                <w:rFonts w:cs="Segoe UI"/>
                <w:i/>
                <w:sz w:val="17"/>
                <w:szCs w:val="17"/>
                <w:lang w:eastAsia="it-IT"/>
              </w:rPr>
            </w:pPr>
            <w:r w:rsidRPr="00182DB9">
              <w:rPr>
                <w:rFonts w:cs="Segoe UI"/>
                <w:i/>
                <w:sz w:val="17"/>
                <w:szCs w:val="17"/>
                <w:lang w:eastAsia="it-IT"/>
              </w:rPr>
              <w:t>the unshaded disclosure items represent a sub-component within the major categories under ASF and RSF items, except that rows 21 and 23 are sub-components of rows 20 and 22, respectively.  See explanatory note below for a more detailed explanation of the composition of such sub-components;</w:t>
            </w:r>
          </w:p>
          <w:p w:rsidR="002A0515" w:rsidRPr="00B529EF" w:rsidRDefault="002A0515" w:rsidP="002A0515">
            <w:pPr>
              <w:pStyle w:val="ListParagraph"/>
              <w:widowControl w:val="0"/>
              <w:numPr>
                <w:ilvl w:val="0"/>
                <w:numId w:val="78"/>
              </w:numPr>
              <w:tabs>
                <w:tab w:val="left" w:pos="426"/>
              </w:tabs>
              <w:autoSpaceDE w:val="0"/>
              <w:autoSpaceDN w:val="0"/>
              <w:adjustRightInd w:val="0"/>
              <w:spacing w:line="240" w:lineRule="exact"/>
              <w:ind w:leftChars="0" w:left="426" w:rightChars="71" w:right="142" w:hanging="426"/>
              <w:jc w:val="both"/>
              <w:rPr>
                <w:i/>
                <w:sz w:val="17"/>
                <w:szCs w:val="17"/>
                <w:lang w:eastAsia="it-IT"/>
              </w:rPr>
            </w:pPr>
            <w:r w:rsidRPr="00182DB9">
              <w:rPr>
                <w:rFonts w:cs="Segoe UI"/>
                <w:i/>
                <w:sz w:val="17"/>
                <w:szCs w:val="17"/>
                <w:lang w:eastAsia="it-IT"/>
              </w:rPr>
              <w:t>no disclosure is required for items shaded in dark grey (i.e. cells 5/a, 6/a, 8/a, 12/b-e, 14/a-d, 27/b-d, 28/b-d, 29/b-d, 30/b-d, 32/a, 33/a-d and 34/a-d).</w:t>
            </w:r>
          </w:p>
        </w:tc>
      </w:tr>
    </w:tbl>
    <w:p w:rsidR="002A0515" w:rsidRDefault="002A0515" w:rsidP="002A0515">
      <w:pPr>
        <w:spacing w:before="120" w:after="120"/>
        <w:ind w:leftChars="-283" w:left="-566"/>
        <w:rPr>
          <w:sz w:val="22"/>
        </w:rPr>
      </w:pPr>
    </w:p>
    <w:tbl>
      <w:tblPr>
        <w:tblStyle w:val="TableGrid"/>
        <w:tblW w:w="9073" w:type="dxa"/>
        <w:tblInd w:w="-318" w:type="dxa"/>
        <w:tblLayout w:type="fixed"/>
        <w:tblLook w:val="04A0" w:firstRow="1" w:lastRow="0" w:firstColumn="1" w:lastColumn="0" w:noHBand="0" w:noVBand="1"/>
      </w:tblPr>
      <w:tblGrid>
        <w:gridCol w:w="568"/>
        <w:gridCol w:w="8505"/>
      </w:tblGrid>
      <w:tr w:rsidR="002A0515" w:rsidRPr="00280717" w:rsidTr="00A54BE4">
        <w:trPr>
          <w:tblHeader/>
        </w:trPr>
        <w:tc>
          <w:tcPr>
            <w:tcW w:w="9073" w:type="dxa"/>
            <w:gridSpan w:val="2"/>
            <w:shd w:val="clear" w:color="auto" w:fill="BFBFBF" w:themeFill="background1" w:themeFillShade="BF"/>
          </w:tcPr>
          <w:p w:rsidR="002A0515" w:rsidRPr="00280717" w:rsidRDefault="002A0515" w:rsidP="00A54BE4">
            <w:pPr>
              <w:spacing w:before="40" w:after="40"/>
              <w:jc w:val="both"/>
              <w:rPr>
                <w:rFonts w:eastAsiaTheme="minorEastAsia"/>
                <w:b/>
                <w:sz w:val="17"/>
                <w:szCs w:val="17"/>
                <w:lang w:eastAsia="en-GB"/>
              </w:rPr>
            </w:pPr>
            <w:r w:rsidRPr="00280717">
              <w:rPr>
                <w:rFonts w:eastAsiaTheme="minorEastAsia"/>
                <w:b/>
                <w:sz w:val="17"/>
                <w:szCs w:val="17"/>
                <w:lang w:eastAsia="en-GB"/>
              </w:rPr>
              <w:t>Explanatory Note</w:t>
            </w:r>
          </w:p>
        </w:tc>
      </w:tr>
      <w:tr w:rsidR="002A0515" w:rsidRPr="00280717" w:rsidTr="00A54BE4">
        <w:trPr>
          <w:trHeight w:val="153"/>
        </w:trPr>
        <w:tc>
          <w:tcPr>
            <w:tcW w:w="9073" w:type="dxa"/>
            <w:gridSpan w:val="2"/>
            <w:shd w:val="clear" w:color="auto" w:fill="F2F2F2" w:themeFill="background1" w:themeFillShade="F2"/>
          </w:tcPr>
          <w:p w:rsidR="002A0515" w:rsidRPr="00280717" w:rsidRDefault="002A0515" w:rsidP="00A54BE4">
            <w:pPr>
              <w:spacing w:before="40" w:after="40"/>
              <w:jc w:val="both"/>
              <w:rPr>
                <w:rFonts w:eastAsiaTheme="minorEastAsia"/>
                <w:b/>
                <w:sz w:val="17"/>
                <w:szCs w:val="17"/>
                <w:lang w:eastAsia="en-GB"/>
              </w:rPr>
            </w:pPr>
            <w:r w:rsidRPr="00280717">
              <w:rPr>
                <w:rFonts w:eastAsiaTheme="minorEastAsia"/>
                <w:b/>
                <w:sz w:val="17"/>
                <w:szCs w:val="17"/>
                <w:lang w:eastAsia="en-GB"/>
              </w:rPr>
              <w:t>Columns</w:t>
            </w:r>
          </w:p>
        </w:tc>
      </w:tr>
      <w:tr w:rsidR="002A0515" w:rsidRPr="0009042A" w:rsidTr="00A54BE4">
        <w:tc>
          <w:tcPr>
            <w:tcW w:w="568" w:type="dxa"/>
          </w:tcPr>
          <w:p w:rsidR="002A0515" w:rsidRPr="000221EB" w:rsidRDefault="002A0515" w:rsidP="00A54BE4">
            <w:pPr>
              <w:keepLines/>
              <w:widowControl w:val="0"/>
              <w:tabs>
                <w:tab w:val="left" w:pos="794"/>
                <w:tab w:val="left" w:pos="1191"/>
              </w:tabs>
              <w:spacing w:before="40" w:after="40"/>
              <w:ind w:rightChars="-54" w:right="-108"/>
              <w:rPr>
                <w:rFonts w:cs="Segoe UI"/>
                <w:sz w:val="17"/>
                <w:szCs w:val="17"/>
                <w:lang w:eastAsia="en-GB"/>
              </w:rPr>
            </w:pPr>
            <w:r>
              <w:rPr>
                <w:rFonts w:cs="Segoe UI"/>
                <w:sz w:val="17"/>
                <w:szCs w:val="17"/>
                <w:lang w:eastAsia="en-GB"/>
              </w:rPr>
              <w:t xml:space="preserve">(a) </w:t>
            </w:r>
            <w:r w:rsidRPr="000221EB">
              <w:rPr>
                <w:rFonts w:cs="Segoe UI"/>
                <w:sz w:val="17"/>
                <w:szCs w:val="17"/>
                <w:lang w:eastAsia="en-GB"/>
              </w:rPr>
              <w:t>to (d)</w:t>
            </w:r>
          </w:p>
        </w:tc>
        <w:tc>
          <w:tcPr>
            <w:tcW w:w="8505" w:type="dxa"/>
          </w:tcPr>
          <w:p w:rsidR="002A0515" w:rsidRPr="00A539ED" w:rsidRDefault="002A0515" w:rsidP="00A54BE4">
            <w:pPr>
              <w:pStyle w:val="TableNote"/>
              <w:spacing w:before="40" w:after="40"/>
              <w:rPr>
                <w:szCs w:val="17"/>
              </w:rPr>
            </w:pPr>
            <w:r w:rsidRPr="000221EB">
              <w:rPr>
                <w:i/>
                <w:sz w:val="17"/>
                <w:szCs w:val="17"/>
              </w:rPr>
              <w:t>Unweighted value by residual maturity</w:t>
            </w:r>
            <w:r>
              <w:rPr>
                <w:sz w:val="17"/>
                <w:szCs w:val="17"/>
              </w:rPr>
              <w:t xml:space="preserve">: values entered in these columns </w:t>
            </w:r>
            <w:r w:rsidRPr="000221EB">
              <w:rPr>
                <w:sz w:val="17"/>
                <w:szCs w:val="17"/>
              </w:rPr>
              <w:t>should be the quarter-end observations of individual line items</w:t>
            </w:r>
            <w:r>
              <w:rPr>
                <w:sz w:val="17"/>
                <w:szCs w:val="17"/>
              </w:rPr>
              <w:t xml:space="preserve"> in accordance with the maturity bands</w:t>
            </w:r>
            <w:r w:rsidRPr="000221EB">
              <w:rPr>
                <w:sz w:val="17"/>
                <w:szCs w:val="17"/>
              </w:rPr>
              <w:t>.</w:t>
            </w:r>
            <w:r>
              <w:rPr>
                <w:sz w:val="17"/>
                <w:szCs w:val="17"/>
              </w:rPr>
              <w:t xml:space="preserve">  </w:t>
            </w:r>
            <w:r w:rsidRPr="000221EB">
              <w:rPr>
                <w:sz w:val="17"/>
                <w:szCs w:val="17"/>
              </w:rPr>
              <w:t>Items to be reported in column (a)</w:t>
            </w:r>
            <w:r>
              <w:rPr>
                <w:sz w:val="17"/>
                <w:szCs w:val="17"/>
              </w:rPr>
              <w:t>, i.e.</w:t>
            </w:r>
            <w:r w:rsidRPr="000221EB">
              <w:rPr>
                <w:sz w:val="17"/>
                <w:szCs w:val="17"/>
              </w:rPr>
              <w:t xml:space="preserve"> the “no </w:t>
            </w:r>
            <w:r>
              <w:rPr>
                <w:sz w:val="17"/>
                <w:szCs w:val="17"/>
              </w:rPr>
              <w:t xml:space="preserve">specified term to </w:t>
            </w:r>
            <w:r w:rsidRPr="000221EB">
              <w:rPr>
                <w:sz w:val="17"/>
                <w:szCs w:val="17"/>
              </w:rPr>
              <w:t>maturity” time bucket</w:t>
            </w:r>
            <w:r>
              <w:rPr>
                <w:sz w:val="17"/>
                <w:szCs w:val="17"/>
              </w:rPr>
              <w:t>,</w:t>
            </w:r>
            <w:r w:rsidRPr="000221EB">
              <w:rPr>
                <w:sz w:val="17"/>
                <w:szCs w:val="17"/>
              </w:rPr>
              <w:t xml:space="preserve"> do not have a stated maturity. </w:t>
            </w:r>
            <w:r>
              <w:rPr>
                <w:sz w:val="17"/>
                <w:szCs w:val="17"/>
              </w:rPr>
              <w:t xml:space="preserve"> </w:t>
            </w:r>
            <w:r w:rsidRPr="000221EB">
              <w:rPr>
                <w:sz w:val="17"/>
                <w:szCs w:val="17"/>
              </w:rPr>
              <w:t xml:space="preserve">These may include, but are not limited to, items such as capital with perpetual maturity, </w:t>
            </w:r>
            <w:r>
              <w:rPr>
                <w:sz w:val="17"/>
                <w:szCs w:val="17"/>
              </w:rPr>
              <w:t xml:space="preserve">collective provisions, net derivative liabilities, currency notes and coins, equities, </w:t>
            </w:r>
            <w:r w:rsidRPr="000221EB">
              <w:rPr>
                <w:sz w:val="17"/>
                <w:szCs w:val="17"/>
              </w:rPr>
              <w:t>physical traded commodities</w:t>
            </w:r>
            <w:r>
              <w:rPr>
                <w:sz w:val="17"/>
                <w:szCs w:val="17"/>
              </w:rPr>
              <w:t>, a</w:t>
            </w:r>
            <w:r w:rsidRPr="00B5481A">
              <w:rPr>
                <w:sz w:val="17"/>
                <w:szCs w:val="17"/>
              </w:rPr>
              <w:t>ssets posted as initial margin for derivative contracts and contributions to default funds of CCPs</w:t>
            </w:r>
            <w:r>
              <w:rPr>
                <w:sz w:val="17"/>
                <w:szCs w:val="17"/>
              </w:rPr>
              <w:t>, net derivative assets and t</w:t>
            </w:r>
            <w:r w:rsidRPr="0009042A">
              <w:rPr>
                <w:sz w:val="17"/>
                <w:szCs w:val="17"/>
              </w:rPr>
              <w:t>otal derivative liabilities before deduction of variation margin posted</w:t>
            </w:r>
            <w:r w:rsidRPr="000221EB">
              <w:rPr>
                <w:sz w:val="17"/>
                <w:szCs w:val="17"/>
              </w:rPr>
              <w:t>.</w:t>
            </w:r>
          </w:p>
        </w:tc>
      </w:tr>
      <w:tr w:rsidR="002A0515" w:rsidRPr="00280717" w:rsidTr="00A54BE4">
        <w:tc>
          <w:tcPr>
            <w:tcW w:w="568" w:type="dxa"/>
          </w:tcPr>
          <w:p w:rsidR="002A0515" w:rsidRPr="00460313" w:rsidRDefault="002A0515" w:rsidP="00A54BE4">
            <w:pPr>
              <w:keepLines/>
              <w:widowControl w:val="0"/>
              <w:tabs>
                <w:tab w:val="left" w:pos="150"/>
                <w:tab w:val="left" w:pos="397"/>
                <w:tab w:val="left" w:pos="794"/>
                <w:tab w:val="left" w:pos="1191"/>
              </w:tabs>
              <w:spacing w:before="40" w:after="40"/>
              <w:rPr>
                <w:sz w:val="17"/>
              </w:rPr>
            </w:pPr>
            <w:r w:rsidRPr="00280717">
              <w:rPr>
                <w:rFonts w:cs="Segoe UI"/>
                <w:sz w:val="17"/>
                <w:szCs w:val="17"/>
                <w:lang w:eastAsia="en-GB"/>
              </w:rPr>
              <w:t>(</w:t>
            </w:r>
            <w:r>
              <w:rPr>
                <w:rFonts w:cs="Segoe UI"/>
                <w:sz w:val="17"/>
                <w:szCs w:val="17"/>
                <w:lang w:eastAsia="en-GB"/>
              </w:rPr>
              <w:t>e</w:t>
            </w:r>
            <w:r w:rsidRPr="00280717">
              <w:rPr>
                <w:rFonts w:cs="Segoe UI"/>
                <w:sz w:val="17"/>
                <w:szCs w:val="17"/>
                <w:lang w:eastAsia="en-GB"/>
              </w:rPr>
              <w:t>)</w:t>
            </w:r>
          </w:p>
        </w:tc>
        <w:tc>
          <w:tcPr>
            <w:tcW w:w="8505" w:type="dxa"/>
          </w:tcPr>
          <w:p w:rsidR="002A0515" w:rsidRPr="00A539ED" w:rsidRDefault="002A0515" w:rsidP="00A54BE4">
            <w:pPr>
              <w:pStyle w:val="TableNote"/>
              <w:spacing w:before="40" w:after="40"/>
              <w:rPr>
                <w:sz w:val="17"/>
                <w:szCs w:val="17"/>
              </w:rPr>
            </w:pPr>
            <w:r>
              <w:rPr>
                <w:i/>
                <w:sz w:val="17"/>
                <w:szCs w:val="17"/>
              </w:rPr>
              <w:t>Weighted amount</w:t>
            </w:r>
            <w:r>
              <w:rPr>
                <w:sz w:val="17"/>
                <w:szCs w:val="17"/>
              </w:rPr>
              <w:t>: values</w:t>
            </w:r>
            <w:r w:rsidRPr="00FD63DB">
              <w:rPr>
                <w:sz w:val="17"/>
                <w:szCs w:val="17"/>
              </w:rPr>
              <w:t xml:space="preserve"> entered in </w:t>
            </w:r>
            <w:r>
              <w:rPr>
                <w:sz w:val="17"/>
                <w:szCs w:val="17"/>
              </w:rPr>
              <w:t>this</w:t>
            </w:r>
            <w:r w:rsidRPr="00FD63DB">
              <w:rPr>
                <w:sz w:val="17"/>
                <w:szCs w:val="17"/>
              </w:rPr>
              <w:t xml:space="preserve"> column are </w:t>
            </w:r>
            <w:r>
              <w:rPr>
                <w:sz w:val="17"/>
                <w:szCs w:val="17"/>
              </w:rPr>
              <w:t>calculated</w:t>
            </w:r>
            <w:r w:rsidRPr="00FD63DB">
              <w:rPr>
                <w:sz w:val="17"/>
                <w:szCs w:val="17"/>
              </w:rPr>
              <w:t xml:space="preserve"> in accordance with </w:t>
            </w:r>
            <w:r>
              <w:rPr>
                <w:sz w:val="17"/>
                <w:szCs w:val="17"/>
              </w:rPr>
              <w:t>Part 9 of the BLR.</w:t>
            </w:r>
          </w:p>
        </w:tc>
      </w:tr>
      <w:tr w:rsidR="002A0515" w:rsidRPr="00280717" w:rsidTr="00A54BE4">
        <w:trPr>
          <w:trHeight w:val="373"/>
        </w:trPr>
        <w:tc>
          <w:tcPr>
            <w:tcW w:w="9073" w:type="dxa"/>
            <w:gridSpan w:val="2"/>
            <w:shd w:val="clear" w:color="auto" w:fill="F2F2F2" w:themeFill="background1" w:themeFillShade="F2"/>
          </w:tcPr>
          <w:p w:rsidR="002A0515" w:rsidRPr="00A539ED" w:rsidRDefault="002A0515" w:rsidP="00A54BE4">
            <w:pPr>
              <w:pStyle w:val="TableNote"/>
              <w:spacing w:before="40" w:after="40"/>
              <w:rPr>
                <w:i/>
                <w:sz w:val="17"/>
                <w:szCs w:val="17"/>
              </w:rPr>
            </w:pPr>
            <w:r>
              <w:rPr>
                <w:rFonts w:eastAsiaTheme="minorEastAsia"/>
                <w:b/>
                <w:sz w:val="17"/>
                <w:szCs w:val="17"/>
                <w:lang w:eastAsia="en-GB"/>
              </w:rPr>
              <w:t>Row</w:t>
            </w:r>
            <w:r w:rsidRPr="00280717">
              <w:rPr>
                <w:rFonts w:eastAsiaTheme="minorEastAsia"/>
                <w:b/>
                <w:sz w:val="17"/>
                <w:szCs w:val="17"/>
                <w:lang w:eastAsia="en-GB"/>
              </w:rPr>
              <w:t>s</w:t>
            </w:r>
          </w:p>
        </w:tc>
      </w:tr>
      <w:tr w:rsidR="002A0515" w:rsidRPr="00280717" w:rsidTr="00A54BE4">
        <w:trPr>
          <w:trHeight w:val="373"/>
        </w:trPr>
        <w:tc>
          <w:tcPr>
            <w:tcW w:w="568" w:type="dxa"/>
          </w:tcPr>
          <w:p w:rsidR="002A0515" w:rsidRPr="00280717"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505" w:type="dxa"/>
          </w:tcPr>
          <w:p w:rsidR="002A0515" w:rsidRPr="00E636CC" w:rsidRDefault="002A0515" w:rsidP="00A54BE4">
            <w:pPr>
              <w:pStyle w:val="TableNote"/>
              <w:spacing w:before="40" w:after="40"/>
              <w:rPr>
                <w:sz w:val="17"/>
                <w:szCs w:val="17"/>
              </w:rPr>
            </w:pPr>
            <w:r w:rsidRPr="000B03B8">
              <w:rPr>
                <w:i/>
                <w:sz w:val="17"/>
                <w:szCs w:val="17"/>
              </w:rPr>
              <w:t>Capital</w:t>
            </w:r>
            <w:r>
              <w:rPr>
                <w:sz w:val="17"/>
                <w:szCs w:val="17"/>
              </w:rPr>
              <w:t>:</w:t>
            </w:r>
            <w:r w:rsidRPr="00E636CC">
              <w:rPr>
                <w:sz w:val="17"/>
                <w:szCs w:val="17"/>
              </w:rPr>
              <w:t xml:space="preserve"> the sum of </w:t>
            </w:r>
            <w:r>
              <w:rPr>
                <w:sz w:val="17"/>
                <w:szCs w:val="17"/>
              </w:rPr>
              <w:t xml:space="preserve">values in </w:t>
            </w:r>
            <w:r w:rsidRPr="00E636CC">
              <w:rPr>
                <w:sz w:val="17"/>
                <w:szCs w:val="17"/>
              </w:rPr>
              <w:t>rows 2</w:t>
            </w:r>
            <w:r>
              <w:rPr>
                <w:sz w:val="17"/>
                <w:szCs w:val="17"/>
              </w:rPr>
              <w:t xml:space="preserve"> to 3.</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505" w:type="dxa"/>
          </w:tcPr>
          <w:p w:rsidR="002A0515" w:rsidRPr="00E636CC"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Regulatory capital</w:t>
            </w:r>
            <w:r>
              <w:rPr>
                <w:sz w:val="17"/>
                <w:szCs w:val="17"/>
              </w:rPr>
              <w:t>:</w:t>
            </w:r>
            <w:r w:rsidRPr="00E636CC">
              <w:rPr>
                <w:sz w:val="17"/>
                <w:szCs w:val="17"/>
              </w:rPr>
              <w:t xml:space="preserve"> </w:t>
            </w:r>
            <w:r>
              <w:rPr>
                <w:sz w:val="17"/>
                <w:szCs w:val="17"/>
              </w:rPr>
              <w:t xml:space="preserve">CET1 capital, Additional Tier 1 capital and Tier 2 capital as defined by Part 3 of the BCR </w:t>
            </w:r>
            <w:r w:rsidRPr="00E636CC">
              <w:rPr>
                <w:sz w:val="17"/>
                <w:szCs w:val="17"/>
              </w:rPr>
              <w:t xml:space="preserve">before the application of </w:t>
            </w:r>
            <w:r>
              <w:rPr>
                <w:sz w:val="17"/>
                <w:szCs w:val="17"/>
              </w:rPr>
              <w:t xml:space="preserve">any regulatory adjustments required by the BCR.  Capital instruments that will be phased out for regulatory capital purposes after completion of the transitional arrangements as referred to in section 5, Schedule 4H to the BCR should not be included in this row.  However, these capital instruments may be reported under row 2a or 3 where appropriate.  To avoid doubt, the aggregated amount of total Tier 1 capital can be reported under the time bucket of “No specified term to maturity” (i.e. column (a)). </w:t>
            </w:r>
          </w:p>
        </w:tc>
      </w:tr>
      <w:tr w:rsidR="002A0515" w:rsidRPr="00280717" w:rsidTr="00A54BE4">
        <w:trPr>
          <w:trHeight w:val="373"/>
        </w:trPr>
        <w:tc>
          <w:tcPr>
            <w:tcW w:w="568" w:type="dxa"/>
            <w:shd w:val="clear" w:color="auto" w:fill="auto"/>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2a</w:t>
            </w:r>
          </w:p>
        </w:tc>
        <w:tc>
          <w:tcPr>
            <w:tcW w:w="8505" w:type="dxa"/>
          </w:tcPr>
          <w:p w:rsidR="002A0515" w:rsidRPr="000B03B8" w:rsidRDefault="002A0515" w:rsidP="00A54BE4">
            <w:pPr>
              <w:keepLines/>
              <w:widowControl w:val="0"/>
              <w:tabs>
                <w:tab w:val="left" w:pos="150"/>
                <w:tab w:val="left" w:pos="397"/>
                <w:tab w:val="left" w:pos="794"/>
                <w:tab w:val="left" w:pos="1191"/>
              </w:tabs>
              <w:spacing w:before="40" w:after="40"/>
              <w:jc w:val="both"/>
              <w:rPr>
                <w:i/>
                <w:sz w:val="17"/>
                <w:szCs w:val="17"/>
              </w:rPr>
            </w:pPr>
            <w:r w:rsidRPr="00C30CB6">
              <w:rPr>
                <w:i/>
                <w:sz w:val="17"/>
                <w:szCs w:val="17"/>
              </w:rPr>
              <w:t xml:space="preserve">Minority interests not covered by </w:t>
            </w:r>
            <w:r>
              <w:rPr>
                <w:i/>
                <w:sz w:val="17"/>
                <w:szCs w:val="17"/>
              </w:rPr>
              <w:t>row</w:t>
            </w:r>
            <w:r w:rsidRPr="00C30CB6">
              <w:rPr>
                <w:i/>
                <w:sz w:val="17"/>
                <w:szCs w:val="17"/>
              </w:rPr>
              <w:t xml:space="preserve"> 2</w:t>
            </w:r>
            <w:r>
              <w:rPr>
                <w:i/>
                <w:sz w:val="17"/>
                <w:szCs w:val="17"/>
              </w:rPr>
              <w:t xml:space="preserve">: </w:t>
            </w:r>
            <w:r>
              <w:rPr>
                <w:sz w:val="17"/>
                <w:szCs w:val="17"/>
              </w:rPr>
              <w:t>if there is any minority interest that has a specified term to maturity, report it under the relevant column.  Otherwise, report under the time bucket of “No specified term to maturity” (i.e. column (a)).</w:t>
            </w:r>
          </w:p>
        </w:tc>
      </w:tr>
      <w:tr w:rsidR="002A0515" w:rsidRPr="00280717" w:rsidTr="00A54BE4">
        <w:trPr>
          <w:trHeight w:val="373"/>
        </w:trPr>
        <w:tc>
          <w:tcPr>
            <w:tcW w:w="568" w:type="dxa"/>
            <w:shd w:val="clear" w:color="auto" w:fill="auto"/>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505" w:type="dxa"/>
          </w:tcPr>
          <w:p w:rsidR="002A0515" w:rsidRPr="00BE7677"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Other capital instruments</w:t>
            </w:r>
            <w:r>
              <w:rPr>
                <w:sz w:val="17"/>
                <w:szCs w:val="17"/>
              </w:rPr>
              <w:t>: t</w:t>
            </w:r>
            <w:r w:rsidRPr="00CA2D12">
              <w:rPr>
                <w:sz w:val="17"/>
                <w:szCs w:val="17"/>
              </w:rPr>
              <w:t>otal amount of any capital instruments not included in row 2</w:t>
            </w:r>
            <w:r>
              <w:rPr>
                <w:sz w:val="17"/>
                <w:szCs w:val="17"/>
              </w:rPr>
              <w:t xml:space="preserve"> or 2a</w:t>
            </w:r>
            <w:r w:rsidRPr="00CA2D12">
              <w:rPr>
                <w:sz w:val="17"/>
                <w:szCs w:val="17"/>
              </w:rPr>
              <w:t>.</w:t>
            </w:r>
            <w:r>
              <w:rPr>
                <w:sz w:val="17"/>
                <w:szCs w:val="17"/>
              </w:rPr>
              <w:t xml:space="preserve"> </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505" w:type="dxa"/>
          </w:tcPr>
          <w:p w:rsidR="002A0515" w:rsidRPr="003E1934"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Retail deposits and small business funding</w:t>
            </w:r>
            <w:r>
              <w:rPr>
                <w:sz w:val="17"/>
                <w:szCs w:val="17"/>
              </w:rPr>
              <w:t>:</w:t>
            </w:r>
            <w:r w:rsidRPr="00CA2D12">
              <w:rPr>
                <w:sz w:val="17"/>
                <w:szCs w:val="17"/>
              </w:rPr>
              <w:t xml:space="preserve"> as defined in </w:t>
            </w:r>
            <w:r>
              <w:rPr>
                <w:sz w:val="17"/>
                <w:szCs w:val="17"/>
              </w:rPr>
              <w:t>BLR rule 39,</w:t>
            </w:r>
            <w:r w:rsidRPr="00CA2D12">
              <w:rPr>
                <w:sz w:val="17"/>
                <w:szCs w:val="17"/>
              </w:rPr>
              <w:t xml:space="preserve"> </w:t>
            </w:r>
            <w:r>
              <w:rPr>
                <w:sz w:val="17"/>
                <w:szCs w:val="17"/>
              </w:rPr>
              <w:t xml:space="preserve">which </w:t>
            </w:r>
            <w:r w:rsidRPr="00CA2D12">
              <w:rPr>
                <w:sz w:val="17"/>
                <w:szCs w:val="17"/>
              </w:rPr>
              <w:t xml:space="preserve">are </w:t>
            </w:r>
            <w:r>
              <w:rPr>
                <w:sz w:val="17"/>
                <w:szCs w:val="17"/>
              </w:rPr>
              <w:t xml:space="preserve">equal to </w:t>
            </w:r>
            <w:r w:rsidRPr="00CA2D12">
              <w:rPr>
                <w:sz w:val="17"/>
                <w:szCs w:val="17"/>
              </w:rPr>
              <w:t xml:space="preserve">the sum of </w:t>
            </w:r>
            <w:r>
              <w:rPr>
                <w:sz w:val="17"/>
                <w:szCs w:val="17"/>
              </w:rPr>
              <w:t xml:space="preserve">values in </w:t>
            </w:r>
            <w:r w:rsidRPr="00CA2D12">
              <w:rPr>
                <w:sz w:val="17"/>
                <w:szCs w:val="17"/>
              </w:rPr>
              <w:t>row</w:t>
            </w:r>
            <w:r>
              <w:rPr>
                <w:sz w:val="17"/>
                <w:szCs w:val="17"/>
              </w:rPr>
              <w:t>s</w:t>
            </w:r>
            <w:r w:rsidRPr="00CA2D12">
              <w:rPr>
                <w:sz w:val="17"/>
                <w:szCs w:val="17"/>
              </w:rPr>
              <w:t xml:space="preserve"> 5 and 6.</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505" w:type="dxa"/>
          </w:tcPr>
          <w:p w:rsidR="002A0515" w:rsidRPr="00BE7677"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Stable deposits</w:t>
            </w:r>
            <w:r>
              <w:rPr>
                <w:sz w:val="17"/>
                <w:szCs w:val="17"/>
              </w:rPr>
              <w:t>: they</w:t>
            </w:r>
            <w:r w:rsidRPr="004F6511">
              <w:rPr>
                <w:sz w:val="17"/>
                <w:szCs w:val="17"/>
              </w:rPr>
              <w:t xml:space="preserve"> comprise </w:t>
            </w:r>
            <w:r>
              <w:rPr>
                <w:sz w:val="17"/>
                <w:szCs w:val="17"/>
              </w:rPr>
              <w:t xml:space="preserve">stable retail deposits and stable small business funding, </w:t>
            </w:r>
            <w:r w:rsidRPr="004F6511">
              <w:rPr>
                <w:sz w:val="17"/>
                <w:szCs w:val="17"/>
              </w:rPr>
              <w:t xml:space="preserve">as defined in the </w:t>
            </w:r>
            <w:r>
              <w:rPr>
                <w:sz w:val="17"/>
                <w:szCs w:val="17"/>
              </w:rPr>
              <w:t>BLR</w:t>
            </w:r>
            <w:r w:rsidRPr="004F6511">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505" w:type="dxa"/>
          </w:tcPr>
          <w:p w:rsidR="002A0515" w:rsidRPr="00986D2D"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Less stable deposits</w:t>
            </w:r>
            <w:r>
              <w:rPr>
                <w:sz w:val="17"/>
                <w:szCs w:val="17"/>
              </w:rPr>
              <w:t>: they</w:t>
            </w:r>
            <w:r w:rsidRPr="00986D2D">
              <w:rPr>
                <w:sz w:val="17"/>
                <w:szCs w:val="17"/>
              </w:rPr>
              <w:t xml:space="preserve"> comprise </w:t>
            </w:r>
            <w:r>
              <w:rPr>
                <w:sz w:val="17"/>
                <w:szCs w:val="17"/>
              </w:rPr>
              <w:t xml:space="preserve">retail deposits and small business funding </w:t>
            </w:r>
            <w:r w:rsidRPr="00986D2D">
              <w:rPr>
                <w:sz w:val="17"/>
                <w:szCs w:val="17"/>
              </w:rPr>
              <w:t xml:space="preserve">as defined in the </w:t>
            </w:r>
            <w:r>
              <w:rPr>
                <w:sz w:val="17"/>
                <w:szCs w:val="17"/>
              </w:rPr>
              <w:t>BLR but not already covered by row 5 above</w:t>
            </w:r>
            <w:r w:rsidRPr="00986D2D">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505" w:type="dxa"/>
          </w:tcPr>
          <w:p w:rsidR="002A0515" w:rsidRPr="001B4B35"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Wholesale funding</w:t>
            </w:r>
            <w:r>
              <w:rPr>
                <w:sz w:val="17"/>
                <w:szCs w:val="17"/>
              </w:rPr>
              <w:t>:</w:t>
            </w:r>
            <w:r w:rsidRPr="00986D2D">
              <w:rPr>
                <w:sz w:val="17"/>
                <w:szCs w:val="17"/>
              </w:rPr>
              <w:t xml:space="preserve"> the sum of </w:t>
            </w:r>
            <w:r>
              <w:rPr>
                <w:sz w:val="17"/>
                <w:szCs w:val="17"/>
              </w:rPr>
              <w:t xml:space="preserve">values in </w:t>
            </w:r>
            <w:r w:rsidRPr="00986D2D">
              <w:rPr>
                <w:sz w:val="17"/>
                <w:szCs w:val="17"/>
              </w:rPr>
              <w:t>rows 8 and 9.</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505" w:type="dxa"/>
          </w:tcPr>
          <w:p w:rsidR="002A0515" w:rsidRPr="00BE7677"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Operational deposits</w:t>
            </w:r>
            <w:r>
              <w:rPr>
                <w:sz w:val="17"/>
                <w:szCs w:val="17"/>
              </w:rPr>
              <w:t>:</w:t>
            </w:r>
            <w:r w:rsidRPr="00986D2D">
              <w:rPr>
                <w:sz w:val="17"/>
                <w:szCs w:val="17"/>
              </w:rPr>
              <w:t xml:space="preserve"> as defined in </w:t>
            </w:r>
            <w:r>
              <w:rPr>
                <w:sz w:val="17"/>
                <w:szCs w:val="17"/>
              </w:rPr>
              <w:t xml:space="preserve">BLR </w:t>
            </w:r>
            <w:r w:rsidRPr="000E3B3D">
              <w:rPr>
                <w:sz w:val="17"/>
                <w:szCs w:val="17"/>
              </w:rPr>
              <w:t>rule 39</w:t>
            </w:r>
            <w:r>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9</w:t>
            </w:r>
          </w:p>
        </w:tc>
        <w:tc>
          <w:tcPr>
            <w:tcW w:w="8505" w:type="dxa"/>
          </w:tcPr>
          <w:p w:rsidR="002A0515" w:rsidRPr="00BE7677"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Other wholesale funding</w:t>
            </w:r>
            <w:r>
              <w:rPr>
                <w:sz w:val="17"/>
                <w:szCs w:val="17"/>
              </w:rPr>
              <w:t>:</w:t>
            </w:r>
            <w:r w:rsidRPr="00986D2D">
              <w:rPr>
                <w:sz w:val="17"/>
                <w:szCs w:val="17"/>
              </w:rPr>
              <w:t xml:space="preserve"> </w:t>
            </w:r>
            <w:r>
              <w:rPr>
                <w:sz w:val="17"/>
                <w:szCs w:val="17"/>
              </w:rPr>
              <w:t>it is</w:t>
            </w:r>
            <w:r w:rsidRPr="00986D2D">
              <w:rPr>
                <w:sz w:val="17"/>
                <w:szCs w:val="17"/>
              </w:rPr>
              <w:t xml:space="preserve"> funding (</w:t>
            </w:r>
            <w:r>
              <w:rPr>
                <w:sz w:val="17"/>
                <w:szCs w:val="17"/>
              </w:rPr>
              <w:t>other than operational deposits</w:t>
            </w:r>
            <w:r w:rsidRPr="00986D2D">
              <w:rPr>
                <w:sz w:val="17"/>
                <w:szCs w:val="17"/>
              </w:rPr>
              <w:t xml:space="preserve">) provided </w:t>
            </w:r>
            <w:r>
              <w:rPr>
                <w:sz w:val="17"/>
                <w:szCs w:val="17"/>
              </w:rPr>
              <w:t xml:space="preserve">to the AI </w:t>
            </w:r>
            <w:r w:rsidRPr="00986D2D">
              <w:rPr>
                <w:sz w:val="17"/>
                <w:szCs w:val="17"/>
              </w:rPr>
              <w:t>by non-financial corporate</w:t>
            </w:r>
            <w:r>
              <w:rPr>
                <w:sz w:val="17"/>
                <w:szCs w:val="17"/>
              </w:rPr>
              <w:t>s</w:t>
            </w:r>
            <w:r w:rsidRPr="00986D2D">
              <w:rPr>
                <w:sz w:val="17"/>
                <w:szCs w:val="17"/>
              </w:rPr>
              <w:t xml:space="preserve"> </w:t>
            </w:r>
            <w:r>
              <w:rPr>
                <w:sz w:val="17"/>
                <w:szCs w:val="17"/>
              </w:rPr>
              <w:t>(other than small business customers)</w:t>
            </w:r>
            <w:r w:rsidRPr="00986D2D">
              <w:rPr>
                <w:sz w:val="17"/>
                <w:szCs w:val="17"/>
              </w:rPr>
              <w:t>, sovereigns, public sector entities (</w:t>
            </w:r>
            <w:r>
              <w:rPr>
                <w:sz w:val="17"/>
                <w:szCs w:val="17"/>
              </w:rPr>
              <w:t>“</w:t>
            </w:r>
            <w:r w:rsidRPr="00986D2D">
              <w:rPr>
                <w:sz w:val="17"/>
                <w:szCs w:val="17"/>
              </w:rPr>
              <w:t>PSEs</w:t>
            </w:r>
            <w:r>
              <w:rPr>
                <w:sz w:val="17"/>
                <w:szCs w:val="17"/>
              </w:rPr>
              <w:t>”</w:t>
            </w:r>
            <w:r w:rsidRPr="00986D2D">
              <w:rPr>
                <w:sz w:val="17"/>
                <w:szCs w:val="17"/>
              </w:rPr>
              <w:t xml:space="preserve">), multilateral </w:t>
            </w:r>
            <w:r>
              <w:rPr>
                <w:sz w:val="17"/>
                <w:szCs w:val="17"/>
              </w:rPr>
              <w:t>development banks,</w:t>
            </w:r>
            <w:r w:rsidRPr="00986D2D">
              <w:rPr>
                <w:sz w:val="17"/>
                <w:szCs w:val="17"/>
              </w:rPr>
              <w:t xml:space="preserve"> national development banks, </w:t>
            </w:r>
            <w:r>
              <w:rPr>
                <w:sz w:val="17"/>
                <w:szCs w:val="17"/>
              </w:rPr>
              <w:t>the Monetary Authority (“MA”) for the account of the Exchange Fund</w:t>
            </w:r>
            <w:r w:rsidRPr="000B03B8">
              <w:rPr>
                <w:sz w:val="17"/>
                <w:szCs w:val="17"/>
              </w:rPr>
              <w:t xml:space="preserve"> </w:t>
            </w:r>
            <w:r>
              <w:rPr>
                <w:sz w:val="17"/>
                <w:szCs w:val="17"/>
              </w:rPr>
              <w:t xml:space="preserve">(“EF”), </w:t>
            </w:r>
            <w:r w:rsidRPr="00986D2D">
              <w:rPr>
                <w:sz w:val="17"/>
                <w:szCs w:val="17"/>
              </w:rPr>
              <w:t>central banks</w:t>
            </w:r>
            <w:r>
              <w:rPr>
                <w:sz w:val="17"/>
                <w:szCs w:val="17"/>
              </w:rPr>
              <w:t>,</w:t>
            </w:r>
            <w:r w:rsidRPr="00986D2D">
              <w:rPr>
                <w:sz w:val="17"/>
                <w:szCs w:val="17"/>
              </w:rPr>
              <w:t xml:space="preserve"> financial institutions</w:t>
            </w:r>
            <w:r>
              <w:rPr>
                <w:sz w:val="17"/>
                <w:szCs w:val="17"/>
              </w:rPr>
              <w:t xml:space="preserve"> and other entities</w:t>
            </w:r>
            <w:r w:rsidRPr="00986D2D">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w:t>
            </w:r>
          </w:p>
        </w:tc>
        <w:tc>
          <w:tcPr>
            <w:tcW w:w="8505" w:type="dxa"/>
          </w:tcPr>
          <w:p w:rsidR="002A0515"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Liabilities with matching interdependent assets</w:t>
            </w:r>
            <w:r>
              <w:rPr>
                <w:sz w:val="17"/>
                <w:szCs w:val="17"/>
              </w:rPr>
              <w:t>: any liabilities that meet the descriptions in BLR rule 70 and match with interdependent assets should be included in this row and excluded from all other ASF items</w:t>
            </w:r>
            <w:r w:rsidRPr="00986D2D">
              <w:rPr>
                <w:sz w:val="17"/>
                <w:szCs w:val="17"/>
              </w:rPr>
              <w:t>.</w:t>
            </w:r>
            <w:r>
              <w:rPr>
                <w:sz w:val="17"/>
                <w:szCs w:val="17"/>
              </w:rPr>
              <w:t xml:space="preserve">  For note-issuing banks, this row also includes the amount of legal tender notes in circulation issued by them, as follows:</w:t>
            </w:r>
          </w:p>
          <w:p w:rsidR="002A0515" w:rsidRPr="0089465D" w:rsidRDefault="002A0515" w:rsidP="002A0515">
            <w:pPr>
              <w:pStyle w:val="ListParagraph"/>
              <w:keepLines/>
              <w:widowControl w:val="0"/>
              <w:numPr>
                <w:ilvl w:val="0"/>
                <w:numId w:val="80"/>
              </w:numPr>
              <w:tabs>
                <w:tab w:val="left" w:pos="459"/>
              </w:tabs>
              <w:spacing w:before="40" w:after="40"/>
              <w:ind w:leftChars="0" w:left="459" w:hanging="459"/>
              <w:jc w:val="both"/>
              <w:rPr>
                <w:rFonts w:cs="Times New Roman"/>
                <w:kern w:val="0"/>
                <w:sz w:val="17"/>
                <w:szCs w:val="17"/>
                <w:lang w:val="en-GB"/>
              </w:rPr>
            </w:pPr>
            <w:r>
              <w:rPr>
                <w:rFonts w:cs="Times New Roman"/>
                <w:kern w:val="0"/>
                <w:sz w:val="17"/>
                <w:szCs w:val="17"/>
                <w:lang w:val="en-GB"/>
              </w:rPr>
              <w:t>f</w:t>
            </w:r>
            <w:r w:rsidRPr="0089465D">
              <w:rPr>
                <w:rFonts w:cs="Times New Roman"/>
                <w:kern w:val="0"/>
                <w:sz w:val="17"/>
                <w:szCs w:val="17"/>
                <w:lang w:val="en-GB"/>
              </w:rPr>
              <w:t xml:space="preserve">or unweighted value, </w:t>
            </w:r>
            <w:r>
              <w:rPr>
                <w:rFonts w:cs="Times New Roman"/>
                <w:kern w:val="0"/>
                <w:sz w:val="17"/>
                <w:szCs w:val="17"/>
                <w:lang w:val="en-GB"/>
              </w:rPr>
              <w:t xml:space="preserve">the </w:t>
            </w:r>
            <w:r w:rsidRPr="0089465D">
              <w:rPr>
                <w:rFonts w:cs="Times New Roman"/>
                <w:kern w:val="0"/>
                <w:sz w:val="17"/>
                <w:szCs w:val="17"/>
                <w:lang w:val="en-GB"/>
              </w:rPr>
              <w:t>legal tender notes in circulation should be included in column (a) for ‘no specified term to maturity’;</w:t>
            </w:r>
          </w:p>
          <w:p w:rsidR="002A0515" w:rsidRPr="0089465D" w:rsidRDefault="002A0515" w:rsidP="002A0515">
            <w:pPr>
              <w:pStyle w:val="ListParagraph"/>
              <w:keepLines/>
              <w:widowControl w:val="0"/>
              <w:numPr>
                <w:ilvl w:val="0"/>
                <w:numId w:val="80"/>
              </w:numPr>
              <w:tabs>
                <w:tab w:val="left" w:pos="459"/>
              </w:tabs>
              <w:spacing w:before="40" w:after="40"/>
              <w:ind w:leftChars="0" w:left="459" w:hanging="459"/>
              <w:jc w:val="both"/>
              <w:rPr>
                <w:sz w:val="17"/>
                <w:szCs w:val="17"/>
              </w:rPr>
            </w:pPr>
            <w:r>
              <w:rPr>
                <w:rFonts w:cs="Times New Roman"/>
                <w:kern w:val="0"/>
                <w:sz w:val="17"/>
                <w:szCs w:val="17"/>
                <w:lang w:val="en-GB"/>
              </w:rPr>
              <w:t>f</w:t>
            </w:r>
            <w:r w:rsidRPr="0089465D">
              <w:rPr>
                <w:rFonts w:cs="Times New Roman"/>
                <w:kern w:val="0"/>
                <w:sz w:val="17"/>
                <w:szCs w:val="17"/>
                <w:lang w:val="en-GB"/>
              </w:rPr>
              <w:t xml:space="preserve">or weighted value, a note-issuing bank may choose either to (a) treat the amount for legal tender notes as $0; or (b) apply </w:t>
            </w:r>
            <w:r>
              <w:rPr>
                <w:rFonts w:cs="Times New Roman"/>
                <w:kern w:val="0"/>
                <w:sz w:val="17"/>
                <w:szCs w:val="17"/>
                <w:lang w:val="en-GB"/>
              </w:rPr>
              <w:t xml:space="preserve">BLR </w:t>
            </w:r>
            <w:r w:rsidRPr="0089465D">
              <w:rPr>
                <w:rFonts w:cs="Times New Roman"/>
                <w:kern w:val="0"/>
                <w:sz w:val="17"/>
                <w:szCs w:val="17"/>
                <w:lang w:val="en-GB"/>
              </w:rPr>
              <w:t>rules 65 and 68 to determine such weighted amounts in accordance with BLR rule 69(2).</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11</w:t>
            </w:r>
          </w:p>
        </w:tc>
        <w:tc>
          <w:tcPr>
            <w:tcW w:w="8505" w:type="dxa"/>
          </w:tcPr>
          <w:p w:rsidR="002A0515" w:rsidRPr="00BE7677"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Other liabilities</w:t>
            </w:r>
            <w:r>
              <w:rPr>
                <w:sz w:val="17"/>
                <w:szCs w:val="17"/>
              </w:rPr>
              <w:t>:</w:t>
            </w:r>
            <w:r w:rsidRPr="00986D2D">
              <w:rPr>
                <w:sz w:val="17"/>
                <w:szCs w:val="17"/>
              </w:rPr>
              <w:t xml:space="preserve"> the sum of </w:t>
            </w:r>
            <w:r>
              <w:rPr>
                <w:sz w:val="17"/>
                <w:szCs w:val="17"/>
              </w:rPr>
              <w:t xml:space="preserve">values in </w:t>
            </w:r>
            <w:r w:rsidRPr="00986D2D">
              <w:rPr>
                <w:sz w:val="17"/>
                <w:szCs w:val="17"/>
              </w:rPr>
              <w:t>rows 12 and 13.</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12</w:t>
            </w:r>
          </w:p>
        </w:tc>
        <w:tc>
          <w:tcPr>
            <w:tcW w:w="8505" w:type="dxa"/>
          </w:tcPr>
          <w:p w:rsidR="002A0515" w:rsidRPr="00E876D8" w:rsidRDefault="002A0515" w:rsidP="00A54BE4">
            <w:pPr>
              <w:keepLines/>
              <w:widowControl w:val="0"/>
              <w:tabs>
                <w:tab w:val="left" w:pos="150"/>
                <w:tab w:val="left" w:pos="397"/>
                <w:tab w:val="left" w:pos="794"/>
                <w:tab w:val="left" w:pos="1191"/>
              </w:tabs>
              <w:spacing w:before="40" w:after="40"/>
              <w:jc w:val="both"/>
              <w:rPr>
                <w:sz w:val="17"/>
                <w:szCs w:val="17"/>
              </w:rPr>
            </w:pPr>
            <w:r>
              <w:rPr>
                <w:i/>
                <w:sz w:val="17"/>
                <w:szCs w:val="17"/>
              </w:rPr>
              <w:t xml:space="preserve">Net </w:t>
            </w:r>
            <w:r w:rsidRPr="000B03B8">
              <w:rPr>
                <w:i/>
                <w:sz w:val="17"/>
                <w:szCs w:val="17"/>
              </w:rPr>
              <w:t>derivative</w:t>
            </w:r>
            <w:r>
              <w:rPr>
                <w:i/>
                <w:sz w:val="17"/>
                <w:szCs w:val="17"/>
              </w:rPr>
              <w:t xml:space="preserve"> liabilitie</w:t>
            </w:r>
            <w:r w:rsidRPr="000B03B8">
              <w:rPr>
                <w:i/>
                <w:sz w:val="17"/>
                <w:szCs w:val="17"/>
              </w:rPr>
              <w:t>s</w:t>
            </w:r>
            <w:r>
              <w:rPr>
                <w:sz w:val="17"/>
                <w:szCs w:val="17"/>
              </w:rPr>
              <w:t>:</w:t>
            </w:r>
            <w:r w:rsidRPr="002B304B">
              <w:rPr>
                <w:sz w:val="17"/>
                <w:szCs w:val="17"/>
              </w:rPr>
              <w:t xml:space="preserve"> </w:t>
            </w:r>
            <w:r>
              <w:rPr>
                <w:sz w:val="17"/>
                <w:szCs w:val="17"/>
              </w:rPr>
              <w:t>i</w:t>
            </w:r>
            <w:r w:rsidRPr="002B304B">
              <w:rPr>
                <w:sz w:val="17"/>
                <w:szCs w:val="17"/>
              </w:rPr>
              <w:t xml:space="preserve">n the unweighted cell, report </w:t>
            </w:r>
            <w:r>
              <w:rPr>
                <w:sz w:val="17"/>
                <w:szCs w:val="17"/>
              </w:rPr>
              <w:t xml:space="preserve">the amount of net </w:t>
            </w:r>
            <w:r w:rsidRPr="002B304B">
              <w:rPr>
                <w:sz w:val="17"/>
                <w:szCs w:val="17"/>
              </w:rPr>
              <w:t>derivatives liabilities</w:t>
            </w:r>
            <w:r>
              <w:rPr>
                <w:sz w:val="17"/>
                <w:szCs w:val="17"/>
              </w:rPr>
              <w:t xml:space="preserve"> </w:t>
            </w:r>
            <w:r w:rsidRPr="002B304B">
              <w:rPr>
                <w:sz w:val="17"/>
                <w:szCs w:val="17"/>
              </w:rPr>
              <w:t xml:space="preserve">as calculated according to </w:t>
            </w:r>
            <w:r>
              <w:rPr>
                <w:sz w:val="17"/>
                <w:szCs w:val="17"/>
              </w:rPr>
              <w:t>Part 9 of the BLR (i.e. the net amount of total derivative liabilities (after adjustments) in excess of total derivative assets (after adjustments))</w:t>
            </w:r>
            <w:r w:rsidRPr="002B304B">
              <w:rPr>
                <w:sz w:val="17"/>
                <w:szCs w:val="17"/>
              </w:rPr>
              <w:t xml:space="preserve">. </w:t>
            </w:r>
            <w:r>
              <w:rPr>
                <w:sz w:val="17"/>
                <w:szCs w:val="17"/>
              </w:rPr>
              <w:t xml:space="preserve"> The cell for </w:t>
            </w:r>
            <w:r w:rsidRPr="002B304B">
              <w:rPr>
                <w:sz w:val="17"/>
                <w:szCs w:val="17"/>
              </w:rPr>
              <w:t xml:space="preserve">weighted </w:t>
            </w:r>
            <w:r>
              <w:rPr>
                <w:sz w:val="17"/>
                <w:szCs w:val="17"/>
              </w:rPr>
              <w:t>amount</w:t>
            </w:r>
            <w:r w:rsidRPr="002B304B">
              <w:rPr>
                <w:sz w:val="17"/>
                <w:szCs w:val="17"/>
              </w:rPr>
              <w:t xml:space="preserve"> under </w:t>
            </w:r>
            <w:r>
              <w:rPr>
                <w:sz w:val="17"/>
                <w:szCs w:val="17"/>
              </w:rPr>
              <w:t xml:space="preserve">net </w:t>
            </w:r>
            <w:r w:rsidRPr="002B304B">
              <w:rPr>
                <w:sz w:val="17"/>
                <w:szCs w:val="17"/>
              </w:rPr>
              <w:t>derivative liabilities</w:t>
            </w:r>
            <w:r>
              <w:rPr>
                <w:sz w:val="17"/>
                <w:szCs w:val="17"/>
              </w:rPr>
              <w:t xml:space="preserve"> </w:t>
            </w:r>
            <w:r w:rsidRPr="002B304B">
              <w:rPr>
                <w:sz w:val="17"/>
                <w:szCs w:val="17"/>
              </w:rPr>
              <w:t xml:space="preserve">is </w:t>
            </w:r>
            <w:r>
              <w:rPr>
                <w:sz w:val="17"/>
                <w:szCs w:val="17"/>
              </w:rPr>
              <w:t>darken</w:t>
            </w:r>
            <w:r w:rsidRPr="002B304B">
              <w:rPr>
                <w:sz w:val="17"/>
                <w:szCs w:val="17"/>
              </w:rPr>
              <w:t xml:space="preserve">ed given that </w:t>
            </w:r>
            <w:r>
              <w:rPr>
                <w:sz w:val="17"/>
                <w:szCs w:val="17"/>
              </w:rPr>
              <w:t>the value</w:t>
            </w:r>
            <w:r w:rsidRPr="002B304B">
              <w:rPr>
                <w:sz w:val="17"/>
                <w:szCs w:val="17"/>
              </w:rPr>
              <w:t xml:space="preserve"> will be zero after the 0% ASF is applied.</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13</w:t>
            </w:r>
          </w:p>
        </w:tc>
        <w:tc>
          <w:tcPr>
            <w:tcW w:w="8505" w:type="dxa"/>
          </w:tcPr>
          <w:p w:rsidR="002A0515" w:rsidRPr="006C0223" w:rsidRDefault="002A0515" w:rsidP="00A54BE4">
            <w:pPr>
              <w:keepLines/>
              <w:widowControl w:val="0"/>
              <w:spacing w:before="40" w:after="40"/>
              <w:jc w:val="both"/>
              <w:rPr>
                <w:sz w:val="17"/>
                <w:szCs w:val="17"/>
              </w:rPr>
            </w:pPr>
            <w:r w:rsidRPr="000B03B8">
              <w:rPr>
                <w:i/>
                <w:sz w:val="17"/>
                <w:szCs w:val="17"/>
                <w:lang w:eastAsia="it-IT"/>
              </w:rPr>
              <w:t xml:space="preserve">All other </w:t>
            </w:r>
            <w:r>
              <w:rPr>
                <w:i/>
                <w:sz w:val="17"/>
                <w:szCs w:val="17"/>
                <w:lang w:eastAsia="it-IT"/>
              </w:rPr>
              <w:t xml:space="preserve">funding and </w:t>
            </w:r>
            <w:r w:rsidRPr="000B03B8">
              <w:rPr>
                <w:i/>
                <w:sz w:val="17"/>
                <w:szCs w:val="17"/>
                <w:lang w:eastAsia="it-IT"/>
              </w:rPr>
              <w:t>liabilities</w:t>
            </w:r>
            <w:r>
              <w:rPr>
                <w:i/>
                <w:sz w:val="17"/>
                <w:szCs w:val="17"/>
                <w:lang w:eastAsia="it-IT"/>
              </w:rPr>
              <w:t xml:space="preserve"> </w:t>
            </w:r>
            <w:r w:rsidRPr="000B03B8">
              <w:rPr>
                <w:i/>
                <w:sz w:val="17"/>
                <w:szCs w:val="17"/>
                <w:lang w:eastAsia="it-IT"/>
              </w:rPr>
              <w:t>not included in the above categories</w:t>
            </w:r>
            <w:r w:rsidRPr="006C0223">
              <w:rPr>
                <w:sz w:val="17"/>
                <w:szCs w:val="17"/>
              </w:rPr>
              <w:t xml:space="preserve">: </w:t>
            </w:r>
            <w:r>
              <w:rPr>
                <w:sz w:val="17"/>
                <w:szCs w:val="17"/>
              </w:rPr>
              <w:t>report in this row a</w:t>
            </w:r>
            <w:r w:rsidRPr="006C0223">
              <w:rPr>
                <w:sz w:val="17"/>
                <w:szCs w:val="17"/>
              </w:rPr>
              <w:t xml:space="preserve">ll other </w:t>
            </w:r>
            <w:r>
              <w:rPr>
                <w:sz w:val="17"/>
                <w:szCs w:val="17"/>
              </w:rPr>
              <w:t xml:space="preserve">funding and </w:t>
            </w:r>
            <w:r w:rsidRPr="006C0223">
              <w:rPr>
                <w:sz w:val="17"/>
                <w:szCs w:val="17"/>
              </w:rPr>
              <w:t xml:space="preserve">liabilities </w:t>
            </w:r>
            <w:r>
              <w:rPr>
                <w:sz w:val="17"/>
                <w:szCs w:val="17"/>
              </w:rPr>
              <w:t xml:space="preserve">that are counted towards ASF under the BLR but </w:t>
            </w:r>
            <w:r w:rsidRPr="006C0223">
              <w:rPr>
                <w:sz w:val="17"/>
                <w:szCs w:val="17"/>
              </w:rPr>
              <w:t xml:space="preserve">not included in </w:t>
            </w:r>
            <w:r>
              <w:rPr>
                <w:sz w:val="17"/>
                <w:szCs w:val="17"/>
              </w:rPr>
              <w:t xml:space="preserve">rows 1 to 12 </w:t>
            </w:r>
            <w:r w:rsidRPr="006C0223">
              <w:rPr>
                <w:sz w:val="17"/>
                <w:szCs w:val="17"/>
              </w:rPr>
              <w:t>above</w:t>
            </w:r>
            <w:r>
              <w:rPr>
                <w:sz w:val="17"/>
                <w:szCs w:val="17"/>
              </w:rPr>
              <w:t xml:space="preserve"> (e.g. debt securities or prescribed instruments issued, deferred tax liabilities, trade-date payables, </w:t>
            </w:r>
            <w:proofErr w:type="spellStart"/>
            <w:r>
              <w:rPr>
                <w:sz w:val="17"/>
                <w:szCs w:val="17"/>
              </w:rPr>
              <w:t>etc</w:t>
            </w:r>
            <w:proofErr w:type="spellEnd"/>
            <w:r>
              <w:rPr>
                <w:sz w:val="17"/>
                <w:szCs w:val="17"/>
              </w:rPr>
              <w:t>)</w:t>
            </w:r>
            <w:r w:rsidRPr="006C0223">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14</w:t>
            </w:r>
          </w:p>
        </w:tc>
        <w:tc>
          <w:tcPr>
            <w:tcW w:w="8505" w:type="dxa"/>
          </w:tcPr>
          <w:p w:rsidR="002A0515" w:rsidRPr="00BE7677"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Total ASF</w:t>
            </w:r>
            <w:r>
              <w:rPr>
                <w:sz w:val="17"/>
                <w:szCs w:val="17"/>
              </w:rPr>
              <w:t>:</w:t>
            </w:r>
            <w:r w:rsidRPr="00500B89">
              <w:rPr>
                <w:sz w:val="17"/>
                <w:szCs w:val="17"/>
              </w:rPr>
              <w:t xml:space="preserve"> the sum of all weighted </w:t>
            </w:r>
            <w:r>
              <w:rPr>
                <w:sz w:val="17"/>
                <w:szCs w:val="17"/>
              </w:rPr>
              <w:t>amount</w:t>
            </w:r>
            <w:r w:rsidRPr="00500B89">
              <w:rPr>
                <w:sz w:val="17"/>
                <w:szCs w:val="17"/>
              </w:rPr>
              <w:t>s in rows 1, 4, 7, 10 and 11.</w:t>
            </w:r>
          </w:p>
        </w:tc>
      </w:tr>
      <w:tr w:rsidR="002A0515" w:rsidRPr="00280717" w:rsidTr="00A54BE4">
        <w:trPr>
          <w:trHeight w:val="373"/>
        </w:trPr>
        <w:tc>
          <w:tcPr>
            <w:tcW w:w="568" w:type="dxa"/>
          </w:tcPr>
          <w:p w:rsidR="002A0515" w:rsidRDefault="002A0515" w:rsidP="00A54BE4">
            <w:pPr>
              <w:keepLines/>
              <w:widowControl w:val="0"/>
              <w:tabs>
                <w:tab w:val="left" w:pos="150"/>
                <w:tab w:val="left" w:pos="794"/>
                <w:tab w:val="left" w:pos="1191"/>
              </w:tabs>
              <w:spacing w:before="40" w:after="40"/>
              <w:ind w:rightChars="-54" w:right="-108"/>
              <w:rPr>
                <w:rFonts w:cs="Segoe UI"/>
                <w:sz w:val="17"/>
                <w:szCs w:val="17"/>
                <w:lang w:eastAsia="en-GB"/>
              </w:rPr>
            </w:pPr>
            <w:r>
              <w:rPr>
                <w:rFonts w:cs="Segoe UI"/>
                <w:sz w:val="17"/>
                <w:szCs w:val="17"/>
                <w:lang w:eastAsia="en-GB"/>
              </w:rPr>
              <w:t>15 to 31</w:t>
            </w:r>
          </w:p>
        </w:tc>
        <w:tc>
          <w:tcPr>
            <w:tcW w:w="8505" w:type="dxa"/>
          </w:tcPr>
          <w:p w:rsidR="002A0515" w:rsidRPr="00462F5B" w:rsidRDefault="002A0515" w:rsidP="00A54BE4">
            <w:pPr>
              <w:keepLines/>
              <w:widowControl w:val="0"/>
              <w:tabs>
                <w:tab w:val="left" w:pos="150"/>
                <w:tab w:val="left" w:pos="397"/>
                <w:tab w:val="left" w:pos="794"/>
                <w:tab w:val="left" w:pos="1191"/>
              </w:tabs>
              <w:spacing w:before="40" w:after="40"/>
              <w:jc w:val="both"/>
              <w:rPr>
                <w:i/>
                <w:sz w:val="17"/>
                <w:szCs w:val="17"/>
              </w:rPr>
            </w:pPr>
            <w:r w:rsidRPr="000B03B8">
              <w:rPr>
                <w:sz w:val="17"/>
                <w:szCs w:val="17"/>
              </w:rPr>
              <w:t>For any assets that are not free from encumbrances</w:t>
            </w:r>
            <w:r>
              <w:rPr>
                <w:sz w:val="17"/>
                <w:szCs w:val="17"/>
              </w:rPr>
              <w:t xml:space="preserve"> (as defined in Part 9 of the BLR)</w:t>
            </w:r>
            <w:r w:rsidRPr="000B03B8">
              <w:rPr>
                <w:sz w:val="17"/>
                <w:szCs w:val="17"/>
              </w:rPr>
              <w:t xml:space="preserve">, report the unweighted </w:t>
            </w:r>
            <w:r>
              <w:rPr>
                <w:sz w:val="17"/>
                <w:szCs w:val="17"/>
              </w:rPr>
              <w:t>value</w:t>
            </w:r>
            <w:r w:rsidRPr="000B03B8">
              <w:rPr>
                <w:sz w:val="17"/>
                <w:szCs w:val="17"/>
              </w:rPr>
              <w:t xml:space="preserve"> in columns (a) to (d) </w:t>
            </w:r>
            <w:r>
              <w:rPr>
                <w:sz w:val="17"/>
                <w:szCs w:val="17"/>
              </w:rPr>
              <w:t xml:space="preserve">taking into account their remaining terms to maturity and periods of encumbrance (whichever is subject to a higher RSF factor), </w:t>
            </w:r>
            <w:r w:rsidRPr="000B03B8">
              <w:rPr>
                <w:sz w:val="17"/>
                <w:szCs w:val="17"/>
              </w:rPr>
              <w:t>and the weighted amount (i.e. after the applicable RSF factor for encumbered assets) in column (e).</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15</w:t>
            </w:r>
          </w:p>
        </w:tc>
        <w:tc>
          <w:tcPr>
            <w:tcW w:w="8505" w:type="dxa"/>
          </w:tcPr>
          <w:p w:rsidR="002A0515" w:rsidRPr="000C23D4" w:rsidRDefault="002A0515" w:rsidP="00A54BE4">
            <w:pPr>
              <w:keepLines/>
              <w:widowControl w:val="0"/>
              <w:tabs>
                <w:tab w:val="left" w:pos="150"/>
                <w:tab w:val="left" w:pos="397"/>
                <w:tab w:val="left" w:pos="794"/>
                <w:tab w:val="left" w:pos="1191"/>
              </w:tabs>
              <w:spacing w:before="40" w:after="40"/>
              <w:jc w:val="both"/>
              <w:rPr>
                <w:rFonts w:cs="Segoe UI"/>
                <w:sz w:val="17"/>
                <w:szCs w:val="17"/>
              </w:rPr>
            </w:pPr>
            <w:r w:rsidRPr="000C23D4">
              <w:rPr>
                <w:rFonts w:cs="Segoe UI"/>
                <w:i/>
                <w:sz w:val="17"/>
                <w:szCs w:val="17"/>
              </w:rPr>
              <w:t>Total HQLA for NSFR purposes</w:t>
            </w:r>
            <w:r w:rsidRPr="000C23D4">
              <w:rPr>
                <w:rFonts w:cs="Segoe UI"/>
                <w:sz w:val="17"/>
                <w:szCs w:val="17"/>
              </w:rPr>
              <w:t>: being unencumbered high quality liquid assets without regard to LCR operational requirements and caps on Level 2 and Level 2B assets that might otherwise limit the ability of some HQLA to be included as eligible in calculation of the LCR.  Under the BLR, these items include:</w:t>
            </w:r>
          </w:p>
          <w:p w:rsidR="002A0515" w:rsidRPr="000C23D4" w:rsidRDefault="002A0515" w:rsidP="002A0515">
            <w:pPr>
              <w:pStyle w:val="ListParagraph"/>
              <w:keepLines/>
              <w:widowControl w:val="0"/>
              <w:numPr>
                <w:ilvl w:val="0"/>
                <w:numId w:val="67"/>
              </w:numPr>
              <w:tabs>
                <w:tab w:val="left" w:pos="150"/>
                <w:tab w:val="left" w:pos="459"/>
                <w:tab w:val="left" w:pos="1191"/>
              </w:tabs>
              <w:spacing w:before="40" w:after="40"/>
              <w:ind w:leftChars="0" w:left="459" w:hanging="459"/>
              <w:jc w:val="both"/>
              <w:rPr>
                <w:rFonts w:cs="Segoe UI"/>
                <w:sz w:val="17"/>
                <w:szCs w:val="17"/>
              </w:rPr>
            </w:pPr>
            <w:r w:rsidRPr="000C23D4">
              <w:rPr>
                <w:rFonts w:cs="Segoe UI"/>
                <w:sz w:val="17"/>
                <w:szCs w:val="17"/>
              </w:rPr>
              <w:tab/>
              <w:t xml:space="preserve">currency notes and coins; </w:t>
            </w:r>
          </w:p>
          <w:p w:rsidR="002A0515" w:rsidRPr="000C23D4" w:rsidRDefault="002A0515" w:rsidP="002A0515">
            <w:pPr>
              <w:pStyle w:val="ListParagraph"/>
              <w:keepLines/>
              <w:widowControl w:val="0"/>
              <w:numPr>
                <w:ilvl w:val="0"/>
                <w:numId w:val="67"/>
              </w:numPr>
              <w:tabs>
                <w:tab w:val="left" w:pos="150"/>
                <w:tab w:val="left" w:pos="459"/>
                <w:tab w:val="left" w:pos="1191"/>
              </w:tabs>
              <w:spacing w:before="40" w:after="40"/>
              <w:ind w:leftChars="0" w:left="459" w:hanging="459"/>
              <w:jc w:val="both"/>
              <w:rPr>
                <w:rFonts w:cs="Segoe UI"/>
                <w:sz w:val="17"/>
                <w:szCs w:val="17"/>
              </w:rPr>
            </w:pPr>
            <w:r w:rsidRPr="000C23D4">
              <w:rPr>
                <w:rFonts w:cs="Segoe UI"/>
                <w:sz w:val="17"/>
                <w:szCs w:val="17"/>
              </w:rPr>
              <w:t xml:space="preserve">claims on the MA for the account of the EF or central banks that are repayable on demand or readily </w:t>
            </w:r>
            <w:proofErr w:type="spellStart"/>
            <w:r w:rsidRPr="000C23D4">
              <w:rPr>
                <w:rFonts w:cs="Segoe UI"/>
                <w:sz w:val="17"/>
                <w:szCs w:val="17"/>
              </w:rPr>
              <w:t>monetizable</w:t>
            </w:r>
            <w:proofErr w:type="spellEnd"/>
            <w:r w:rsidRPr="000C23D4">
              <w:rPr>
                <w:rFonts w:cs="Segoe UI"/>
                <w:sz w:val="17"/>
                <w:szCs w:val="17"/>
              </w:rPr>
              <w:t xml:space="preserve"> (including funds placed with the AI's HKD CHATS Account, or with central banks to meet reserve requirements, EF debt securities and central bank debt securities that qualify for HQLA); and</w:t>
            </w:r>
          </w:p>
          <w:p w:rsidR="002A0515" w:rsidRPr="000C23D4" w:rsidRDefault="002A0515" w:rsidP="002A0515">
            <w:pPr>
              <w:pStyle w:val="ListParagraph"/>
              <w:keepLines/>
              <w:widowControl w:val="0"/>
              <w:numPr>
                <w:ilvl w:val="0"/>
                <w:numId w:val="67"/>
              </w:numPr>
              <w:tabs>
                <w:tab w:val="left" w:pos="150"/>
                <w:tab w:val="left" w:pos="459"/>
                <w:tab w:val="left" w:pos="1191"/>
              </w:tabs>
              <w:spacing w:before="40" w:after="40"/>
              <w:ind w:leftChars="0" w:left="459" w:hanging="459"/>
              <w:jc w:val="both"/>
              <w:rPr>
                <w:rFonts w:cs="Segoe UI"/>
                <w:sz w:val="17"/>
                <w:szCs w:val="17"/>
              </w:rPr>
            </w:pPr>
            <w:r w:rsidRPr="000C23D4">
              <w:rPr>
                <w:rFonts w:cs="Segoe UI"/>
                <w:sz w:val="17"/>
                <w:szCs w:val="17"/>
              </w:rPr>
              <w:t>other level 1 assets, level 2A assets and level 2B assets held by the AI.</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16</w:t>
            </w:r>
          </w:p>
        </w:tc>
        <w:tc>
          <w:tcPr>
            <w:tcW w:w="8505" w:type="dxa"/>
          </w:tcPr>
          <w:p w:rsidR="002A0515" w:rsidRPr="000C23D4" w:rsidRDefault="002A0515" w:rsidP="00A54BE4">
            <w:pPr>
              <w:keepLines/>
              <w:widowControl w:val="0"/>
              <w:tabs>
                <w:tab w:val="left" w:pos="150"/>
                <w:tab w:val="left" w:pos="397"/>
                <w:tab w:val="left" w:pos="794"/>
                <w:tab w:val="left" w:pos="1191"/>
              </w:tabs>
              <w:spacing w:before="40" w:after="40"/>
              <w:jc w:val="both"/>
              <w:rPr>
                <w:rFonts w:cs="Segoe UI"/>
                <w:sz w:val="17"/>
                <w:szCs w:val="17"/>
              </w:rPr>
            </w:pPr>
            <w:r w:rsidRPr="000C23D4">
              <w:rPr>
                <w:rFonts w:cs="Segoe UI"/>
                <w:i/>
                <w:sz w:val="17"/>
                <w:szCs w:val="17"/>
              </w:rPr>
              <w:t>Deposits held at other financial institutions for operational purposes</w:t>
            </w:r>
            <w:r w:rsidRPr="000C23D4">
              <w:rPr>
                <w:rFonts w:cs="Segoe UI"/>
                <w:sz w:val="17"/>
                <w:szCs w:val="17"/>
              </w:rPr>
              <w:t>: as defined in Part 7 of the BLR.</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17</w:t>
            </w:r>
          </w:p>
        </w:tc>
        <w:tc>
          <w:tcPr>
            <w:tcW w:w="8505" w:type="dxa"/>
          </w:tcPr>
          <w:p w:rsidR="002A0515" w:rsidRPr="00B10028"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Performing loans and securities</w:t>
            </w:r>
            <w:r>
              <w:rPr>
                <w:sz w:val="17"/>
                <w:szCs w:val="17"/>
              </w:rPr>
              <w:t>:</w:t>
            </w:r>
            <w:r w:rsidRPr="000B03B8">
              <w:rPr>
                <w:sz w:val="17"/>
                <w:szCs w:val="17"/>
              </w:rPr>
              <w:t xml:space="preserve"> the sum of values in rows 18, 19, 20, 22 and 24.</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18</w:t>
            </w:r>
          </w:p>
        </w:tc>
        <w:tc>
          <w:tcPr>
            <w:tcW w:w="8505" w:type="dxa"/>
          </w:tcPr>
          <w:p w:rsidR="002A0515" w:rsidRPr="00A66751"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Performing loans to financial institutions secured by Level 1 HQLA</w:t>
            </w:r>
            <w:r>
              <w:rPr>
                <w:sz w:val="17"/>
                <w:szCs w:val="17"/>
              </w:rPr>
              <w:t>:</w:t>
            </w:r>
            <w:r w:rsidRPr="00E31BC5">
              <w:rPr>
                <w:sz w:val="17"/>
                <w:szCs w:val="17"/>
              </w:rPr>
              <w:t xml:space="preserve"> </w:t>
            </w:r>
            <w:r>
              <w:rPr>
                <w:sz w:val="17"/>
                <w:szCs w:val="17"/>
              </w:rPr>
              <w:t>comprising performing l</w:t>
            </w:r>
            <w:r w:rsidRPr="005331C1">
              <w:rPr>
                <w:sz w:val="17"/>
                <w:szCs w:val="17"/>
              </w:rPr>
              <w:t xml:space="preserve">oans and funds (other than operational deposits) provided by the </w:t>
            </w:r>
            <w:r>
              <w:rPr>
                <w:sz w:val="17"/>
                <w:szCs w:val="17"/>
              </w:rPr>
              <w:t>AI</w:t>
            </w:r>
            <w:r w:rsidRPr="005331C1">
              <w:rPr>
                <w:sz w:val="17"/>
                <w:szCs w:val="17"/>
              </w:rPr>
              <w:t xml:space="preserve"> to other financial institutions </w:t>
            </w:r>
            <w:r>
              <w:rPr>
                <w:sz w:val="17"/>
                <w:szCs w:val="17"/>
              </w:rPr>
              <w:t xml:space="preserve">that are </w:t>
            </w:r>
            <w:r w:rsidRPr="005331C1">
              <w:rPr>
                <w:sz w:val="17"/>
                <w:szCs w:val="17"/>
              </w:rPr>
              <w:t>secured by level 1 assets</w:t>
            </w:r>
            <w:r w:rsidRPr="00E31BC5">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19</w:t>
            </w:r>
          </w:p>
        </w:tc>
        <w:tc>
          <w:tcPr>
            <w:tcW w:w="8505" w:type="dxa"/>
          </w:tcPr>
          <w:p w:rsidR="002A0515" w:rsidRPr="00A66751"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Performing loans to financial institutions secured by non-Level 1 HQLA and unsecured performing loans to financial institutions</w:t>
            </w:r>
            <w:r>
              <w:rPr>
                <w:sz w:val="17"/>
                <w:szCs w:val="17"/>
              </w:rPr>
              <w:t>: comprising performing l</w:t>
            </w:r>
            <w:r w:rsidRPr="005331C1">
              <w:rPr>
                <w:sz w:val="17"/>
                <w:szCs w:val="17"/>
              </w:rPr>
              <w:t xml:space="preserve">oans and funds (other than operational deposits) provided by the </w:t>
            </w:r>
            <w:r>
              <w:rPr>
                <w:sz w:val="17"/>
                <w:szCs w:val="17"/>
              </w:rPr>
              <w:t>AI</w:t>
            </w:r>
            <w:r w:rsidRPr="005331C1">
              <w:rPr>
                <w:sz w:val="17"/>
                <w:szCs w:val="17"/>
              </w:rPr>
              <w:t xml:space="preserve"> to other financial institutions not </w:t>
            </w:r>
            <w:r>
              <w:rPr>
                <w:sz w:val="17"/>
                <w:szCs w:val="17"/>
              </w:rPr>
              <w:t xml:space="preserve">already </w:t>
            </w:r>
            <w:r w:rsidRPr="005331C1">
              <w:rPr>
                <w:sz w:val="17"/>
                <w:szCs w:val="17"/>
              </w:rPr>
              <w:t xml:space="preserve">covered by </w:t>
            </w:r>
            <w:r>
              <w:rPr>
                <w:sz w:val="17"/>
                <w:szCs w:val="17"/>
              </w:rPr>
              <w:t>row 18</w:t>
            </w:r>
            <w:r w:rsidRPr="0078134A">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20</w:t>
            </w:r>
          </w:p>
        </w:tc>
        <w:tc>
          <w:tcPr>
            <w:tcW w:w="8505" w:type="dxa"/>
          </w:tcPr>
          <w:p w:rsidR="002A0515" w:rsidRPr="000B03B8" w:rsidRDefault="002A0515" w:rsidP="00A54BE4">
            <w:pPr>
              <w:pStyle w:val="TableNote"/>
              <w:spacing w:before="40" w:after="40"/>
              <w:rPr>
                <w:i/>
                <w:sz w:val="17"/>
                <w:szCs w:val="17"/>
              </w:rPr>
            </w:pPr>
            <w:r>
              <w:rPr>
                <w:i/>
                <w:sz w:val="17"/>
                <w:szCs w:val="17"/>
              </w:rPr>
              <w:t>P</w:t>
            </w:r>
            <w:r w:rsidRPr="009C3D81">
              <w:rPr>
                <w:i/>
                <w:sz w:val="17"/>
                <w:szCs w:val="17"/>
              </w:rPr>
              <w:t>erforming loans</w:t>
            </w:r>
            <w:r>
              <w:rPr>
                <w:i/>
                <w:sz w:val="17"/>
                <w:szCs w:val="17"/>
              </w:rPr>
              <w:t>, other than performing residential mortgages,</w:t>
            </w:r>
            <w:r w:rsidRPr="009C3D81">
              <w:rPr>
                <w:i/>
                <w:sz w:val="17"/>
                <w:szCs w:val="17"/>
              </w:rPr>
              <w:t xml:space="preserve"> to non-financial corporate clients, retail and small business customers,</w:t>
            </w:r>
            <w:r>
              <w:rPr>
                <w:i/>
                <w:sz w:val="17"/>
                <w:szCs w:val="17"/>
              </w:rPr>
              <w:t xml:space="preserve"> </w:t>
            </w:r>
            <w:r w:rsidRPr="009C3D81">
              <w:rPr>
                <w:i/>
                <w:sz w:val="17"/>
                <w:szCs w:val="17"/>
              </w:rPr>
              <w:t>sovereigns, the M</w:t>
            </w:r>
            <w:r>
              <w:rPr>
                <w:i/>
                <w:sz w:val="17"/>
                <w:szCs w:val="17"/>
              </w:rPr>
              <w:t>A</w:t>
            </w:r>
            <w:r w:rsidRPr="009C3D81">
              <w:rPr>
                <w:i/>
                <w:sz w:val="17"/>
                <w:szCs w:val="17"/>
              </w:rPr>
              <w:t xml:space="preserve"> for the account of the E</w:t>
            </w:r>
            <w:r>
              <w:rPr>
                <w:i/>
                <w:sz w:val="17"/>
                <w:szCs w:val="17"/>
              </w:rPr>
              <w:t>F</w:t>
            </w:r>
            <w:r w:rsidRPr="009C3D81">
              <w:rPr>
                <w:i/>
                <w:sz w:val="17"/>
                <w:szCs w:val="17"/>
              </w:rPr>
              <w:t>, central banks and PSEs</w:t>
            </w:r>
            <w:r>
              <w:rPr>
                <w:i/>
                <w:sz w:val="17"/>
                <w:szCs w:val="17"/>
              </w:rPr>
              <w:t xml:space="preserve">: </w:t>
            </w:r>
            <w:r>
              <w:rPr>
                <w:sz w:val="17"/>
                <w:szCs w:val="17"/>
              </w:rPr>
              <w:t>comprising performing l</w:t>
            </w:r>
            <w:r w:rsidRPr="00D47896">
              <w:rPr>
                <w:sz w:val="17"/>
                <w:szCs w:val="17"/>
              </w:rPr>
              <w:t xml:space="preserve">oans and funds </w:t>
            </w:r>
            <w:r>
              <w:rPr>
                <w:sz w:val="17"/>
                <w:szCs w:val="17"/>
              </w:rPr>
              <w:t xml:space="preserve">(which are not residential mortgages) </w:t>
            </w:r>
            <w:r w:rsidRPr="00D47896">
              <w:rPr>
                <w:sz w:val="17"/>
                <w:szCs w:val="17"/>
              </w:rPr>
              <w:t xml:space="preserve">provided by the </w:t>
            </w:r>
            <w:r>
              <w:rPr>
                <w:sz w:val="17"/>
                <w:szCs w:val="17"/>
              </w:rPr>
              <w:t>AI</w:t>
            </w:r>
            <w:r w:rsidRPr="00D47896">
              <w:rPr>
                <w:sz w:val="17"/>
                <w:szCs w:val="17"/>
              </w:rPr>
              <w:t xml:space="preserve"> to retail customers</w:t>
            </w:r>
            <w:r>
              <w:rPr>
                <w:sz w:val="17"/>
                <w:szCs w:val="17"/>
              </w:rPr>
              <w:t xml:space="preserve"> </w:t>
            </w:r>
            <w:r w:rsidRPr="00D47896">
              <w:rPr>
                <w:sz w:val="17"/>
                <w:szCs w:val="17"/>
              </w:rPr>
              <w:t>and wholesale customers (other than financial institutions)</w:t>
            </w:r>
            <w:r>
              <w:rPr>
                <w:sz w:val="17"/>
                <w:szCs w:val="17"/>
              </w:rPr>
              <w:t xml:space="preserve"> that are not covered by rows 15 to 19 and 22 to 23.</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21</w:t>
            </w:r>
          </w:p>
        </w:tc>
        <w:tc>
          <w:tcPr>
            <w:tcW w:w="8505" w:type="dxa"/>
          </w:tcPr>
          <w:p w:rsidR="002A0515" w:rsidRPr="000B03B8" w:rsidRDefault="002A0515" w:rsidP="00A54BE4">
            <w:pPr>
              <w:keepLines/>
              <w:widowControl w:val="0"/>
              <w:tabs>
                <w:tab w:val="left" w:pos="150"/>
                <w:tab w:val="left" w:pos="397"/>
                <w:tab w:val="left" w:pos="794"/>
                <w:tab w:val="left" w:pos="1191"/>
              </w:tabs>
              <w:spacing w:before="40" w:after="40"/>
              <w:jc w:val="both"/>
              <w:rPr>
                <w:i/>
                <w:sz w:val="17"/>
                <w:szCs w:val="17"/>
              </w:rPr>
            </w:pPr>
            <w:r w:rsidRPr="000B03B8">
              <w:rPr>
                <w:i/>
                <w:sz w:val="17"/>
                <w:szCs w:val="17"/>
              </w:rPr>
              <w:t xml:space="preserve">With </w:t>
            </w:r>
            <w:r>
              <w:rPr>
                <w:i/>
                <w:sz w:val="17"/>
                <w:szCs w:val="17"/>
              </w:rPr>
              <w:t xml:space="preserve">a </w:t>
            </w:r>
            <w:r w:rsidRPr="000B03B8">
              <w:rPr>
                <w:i/>
                <w:sz w:val="17"/>
                <w:szCs w:val="17"/>
              </w:rPr>
              <w:t>risk</w:t>
            </w:r>
            <w:r>
              <w:rPr>
                <w:i/>
                <w:sz w:val="17"/>
                <w:szCs w:val="17"/>
              </w:rPr>
              <w:t>-</w:t>
            </w:r>
            <w:r w:rsidRPr="000B03B8">
              <w:rPr>
                <w:i/>
                <w:sz w:val="17"/>
                <w:szCs w:val="17"/>
              </w:rPr>
              <w:t>weight of less than or equal to 35% under the STC approach</w:t>
            </w:r>
            <w:r>
              <w:rPr>
                <w:sz w:val="17"/>
                <w:szCs w:val="17"/>
              </w:rPr>
              <w:t>: being the portion of</w:t>
            </w:r>
            <w:r w:rsidRPr="001D77C7">
              <w:rPr>
                <w:sz w:val="17"/>
                <w:szCs w:val="17"/>
              </w:rPr>
              <w:t xml:space="preserve"> amount reported in row </w:t>
            </w:r>
            <w:r>
              <w:rPr>
                <w:sz w:val="17"/>
                <w:szCs w:val="17"/>
              </w:rPr>
              <w:t xml:space="preserve">20 </w:t>
            </w:r>
            <w:r w:rsidRPr="001D77C7">
              <w:rPr>
                <w:sz w:val="17"/>
                <w:szCs w:val="17"/>
              </w:rPr>
              <w:t xml:space="preserve">that is subject to a </w:t>
            </w:r>
            <w:r>
              <w:rPr>
                <w:sz w:val="17"/>
                <w:szCs w:val="17"/>
              </w:rPr>
              <w:t xml:space="preserve">risk-weight </w:t>
            </w:r>
            <w:r w:rsidRPr="001D77C7">
              <w:rPr>
                <w:sz w:val="17"/>
                <w:szCs w:val="17"/>
              </w:rPr>
              <w:t xml:space="preserve">of less than or equal to 35% under </w:t>
            </w:r>
            <w:r>
              <w:rPr>
                <w:sz w:val="17"/>
                <w:szCs w:val="17"/>
              </w:rPr>
              <w:t>Division 3, Part 4 of the BCR</w:t>
            </w:r>
            <w:r w:rsidRPr="0078134A">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22</w:t>
            </w:r>
          </w:p>
        </w:tc>
        <w:tc>
          <w:tcPr>
            <w:tcW w:w="8505" w:type="dxa"/>
          </w:tcPr>
          <w:p w:rsidR="002A0515" w:rsidRPr="00647D6F" w:rsidRDefault="002A0515" w:rsidP="00A54BE4">
            <w:pPr>
              <w:keepLines/>
              <w:widowControl w:val="0"/>
              <w:spacing w:before="40" w:after="40"/>
              <w:jc w:val="both"/>
              <w:rPr>
                <w:sz w:val="17"/>
                <w:szCs w:val="17"/>
              </w:rPr>
            </w:pPr>
            <w:r w:rsidRPr="000B03B8">
              <w:rPr>
                <w:i/>
                <w:sz w:val="17"/>
                <w:szCs w:val="17"/>
              </w:rPr>
              <w:t>Performing residential mortgages</w:t>
            </w:r>
            <w:r>
              <w:rPr>
                <w:sz w:val="17"/>
                <w:szCs w:val="17"/>
              </w:rPr>
              <w:t xml:space="preserve">: comprising all performing residential mortgages provided by the AI.  In determining the scope of residential mortgage, </w:t>
            </w:r>
            <w:r w:rsidRPr="00AE62F6">
              <w:rPr>
                <w:sz w:val="17"/>
                <w:szCs w:val="17"/>
              </w:rPr>
              <w:t xml:space="preserve">an AI could make reference </w:t>
            </w:r>
            <w:r>
              <w:rPr>
                <w:sz w:val="17"/>
                <w:szCs w:val="17"/>
              </w:rPr>
              <w:t>to</w:t>
            </w:r>
            <w:r w:rsidRPr="00AE62F6">
              <w:rPr>
                <w:sz w:val="17"/>
                <w:szCs w:val="17"/>
              </w:rPr>
              <w:t xml:space="preserve"> BCR </w:t>
            </w:r>
            <w:r w:rsidRPr="00A8109E">
              <w:rPr>
                <w:sz w:val="17"/>
                <w:szCs w:val="17"/>
              </w:rPr>
              <w:t>§</w:t>
            </w:r>
            <w:r w:rsidRPr="00AE62F6">
              <w:rPr>
                <w:sz w:val="17"/>
                <w:szCs w:val="17"/>
              </w:rPr>
              <w:t>2(1)</w:t>
            </w:r>
            <w:r>
              <w:rPr>
                <w:sz w:val="17"/>
                <w:szCs w:val="17"/>
              </w:rPr>
              <w:t xml:space="preserve"> </w:t>
            </w:r>
            <w:r w:rsidRPr="00AE62F6">
              <w:rPr>
                <w:sz w:val="17"/>
                <w:szCs w:val="17"/>
              </w:rPr>
              <w:t xml:space="preserve">for the scope of row 22.  For clarity sake, residential mortgage loans to financial institutions, if any, should be excluded from row 22 and be included in row 18 or 19 where appropriate.  </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23</w:t>
            </w:r>
          </w:p>
        </w:tc>
        <w:tc>
          <w:tcPr>
            <w:tcW w:w="8505" w:type="dxa"/>
          </w:tcPr>
          <w:p w:rsidR="002A0515" w:rsidRPr="0078134A"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 xml:space="preserve">With </w:t>
            </w:r>
            <w:r>
              <w:rPr>
                <w:i/>
                <w:sz w:val="17"/>
                <w:szCs w:val="17"/>
              </w:rPr>
              <w:t xml:space="preserve">a </w:t>
            </w:r>
            <w:r w:rsidRPr="000B03B8">
              <w:rPr>
                <w:i/>
                <w:sz w:val="17"/>
                <w:szCs w:val="17"/>
              </w:rPr>
              <w:t>risk</w:t>
            </w:r>
            <w:r>
              <w:rPr>
                <w:i/>
                <w:sz w:val="17"/>
                <w:szCs w:val="17"/>
              </w:rPr>
              <w:t>-</w:t>
            </w:r>
            <w:r w:rsidRPr="000B03B8">
              <w:rPr>
                <w:i/>
                <w:sz w:val="17"/>
                <w:szCs w:val="17"/>
              </w:rPr>
              <w:t>weight of less than or equal to 35% under the STC approach</w:t>
            </w:r>
            <w:r>
              <w:rPr>
                <w:sz w:val="17"/>
                <w:szCs w:val="17"/>
              </w:rPr>
              <w:t>: being the portion of</w:t>
            </w:r>
            <w:r w:rsidRPr="00C255A0">
              <w:rPr>
                <w:sz w:val="17"/>
                <w:szCs w:val="17"/>
              </w:rPr>
              <w:t xml:space="preserve"> amount reported in row </w:t>
            </w:r>
            <w:r>
              <w:rPr>
                <w:sz w:val="17"/>
                <w:szCs w:val="17"/>
              </w:rPr>
              <w:t xml:space="preserve">22 </w:t>
            </w:r>
            <w:r w:rsidRPr="00C255A0">
              <w:rPr>
                <w:sz w:val="17"/>
                <w:szCs w:val="17"/>
              </w:rPr>
              <w:t xml:space="preserve">that is subject to a </w:t>
            </w:r>
            <w:r>
              <w:rPr>
                <w:sz w:val="17"/>
                <w:szCs w:val="17"/>
              </w:rPr>
              <w:t xml:space="preserve">risk-weight </w:t>
            </w:r>
            <w:r w:rsidRPr="00C255A0">
              <w:rPr>
                <w:sz w:val="17"/>
                <w:szCs w:val="17"/>
              </w:rPr>
              <w:t xml:space="preserve">of </w:t>
            </w:r>
            <w:r w:rsidRPr="000B03B8">
              <w:rPr>
                <w:sz w:val="17"/>
                <w:szCs w:val="17"/>
              </w:rPr>
              <w:t xml:space="preserve">less than or equal to 35% under </w:t>
            </w:r>
            <w:r>
              <w:rPr>
                <w:sz w:val="17"/>
                <w:szCs w:val="17"/>
              </w:rPr>
              <w:t>Division 3, Part 4 of the BCR</w:t>
            </w:r>
            <w:r w:rsidRPr="0078134A">
              <w:rPr>
                <w:sz w:val="17"/>
                <w:szCs w:val="17"/>
              </w:rPr>
              <w:t>.</w:t>
            </w:r>
          </w:p>
        </w:tc>
      </w:tr>
      <w:tr w:rsidR="002A0515" w:rsidRPr="00280717" w:rsidTr="00A54BE4">
        <w:trPr>
          <w:trHeight w:val="373"/>
        </w:trPr>
        <w:tc>
          <w:tcPr>
            <w:tcW w:w="568" w:type="dxa"/>
          </w:tcPr>
          <w:p w:rsidR="002A0515" w:rsidRPr="00280717"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24</w:t>
            </w:r>
          </w:p>
        </w:tc>
        <w:tc>
          <w:tcPr>
            <w:tcW w:w="8505" w:type="dxa"/>
          </w:tcPr>
          <w:p w:rsidR="002A0515" w:rsidRPr="0078134A" w:rsidRDefault="002A0515" w:rsidP="00A54BE4">
            <w:pPr>
              <w:pStyle w:val="TableNote"/>
              <w:spacing w:before="40" w:after="40"/>
              <w:rPr>
                <w:sz w:val="17"/>
                <w:szCs w:val="17"/>
              </w:rPr>
            </w:pPr>
            <w:r w:rsidRPr="00650BE1">
              <w:rPr>
                <w:i/>
                <w:sz w:val="17"/>
                <w:szCs w:val="17"/>
              </w:rPr>
              <w:t>Securities that are not in default and do not qualify as HQLA including exchange-traded equities</w:t>
            </w:r>
            <w:r>
              <w:rPr>
                <w:sz w:val="17"/>
                <w:szCs w:val="17"/>
              </w:rPr>
              <w:t>: comprising debt s</w:t>
            </w:r>
            <w:r w:rsidRPr="00A83187">
              <w:rPr>
                <w:sz w:val="17"/>
                <w:szCs w:val="17"/>
              </w:rPr>
              <w:t>ecurities</w:t>
            </w:r>
            <w:r>
              <w:rPr>
                <w:sz w:val="17"/>
                <w:szCs w:val="17"/>
              </w:rPr>
              <w:t>, prescribed instruments</w:t>
            </w:r>
            <w:r w:rsidRPr="00A83187">
              <w:rPr>
                <w:sz w:val="17"/>
                <w:szCs w:val="17"/>
              </w:rPr>
              <w:t xml:space="preserve"> </w:t>
            </w:r>
            <w:r>
              <w:rPr>
                <w:sz w:val="17"/>
                <w:szCs w:val="17"/>
              </w:rPr>
              <w:t xml:space="preserve">and listed equities </w:t>
            </w:r>
            <w:r w:rsidRPr="00A83187">
              <w:rPr>
                <w:sz w:val="17"/>
                <w:szCs w:val="17"/>
              </w:rPr>
              <w:t xml:space="preserve">held by the </w:t>
            </w:r>
            <w:r>
              <w:rPr>
                <w:sz w:val="17"/>
                <w:szCs w:val="17"/>
              </w:rPr>
              <w:t>AI</w:t>
            </w:r>
            <w:r w:rsidRPr="00A83187">
              <w:rPr>
                <w:sz w:val="17"/>
                <w:szCs w:val="17"/>
              </w:rPr>
              <w:t xml:space="preserve"> </w:t>
            </w:r>
            <w:r>
              <w:rPr>
                <w:sz w:val="17"/>
                <w:szCs w:val="17"/>
              </w:rPr>
              <w:t>that are not already included in row 15</w:t>
            </w:r>
            <w:r w:rsidRPr="000841AB">
              <w:rPr>
                <w:sz w:val="17"/>
                <w:szCs w:val="17"/>
              </w:rPr>
              <w:t>.</w:t>
            </w:r>
            <w:r>
              <w:rPr>
                <w:sz w:val="17"/>
                <w:szCs w:val="17"/>
              </w:rPr>
              <w:t xml:space="preserve">  To avoid doubt, debt securities or prescribed instruments that are not marketable should also be covered by this row, while unlisted equities should be reported under row 31.</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25</w:t>
            </w:r>
          </w:p>
        </w:tc>
        <w:tc>
          <w:tcPr>
            <w:tcW w:w="8505" w:type="dxa"/>
          </w:tcPr>
          <w:p w:rsidR="002A0515" w:rsidRDefault="002A0515" w:rsidP="00A54BE4">
            <w:pPr>
              <w:keepLines/>
              <w:widowControl w:val="0"/>
              <w:tabs>
                <w:tab w:val="left" w:pos="150"/>
                <w:tab w:val="left" w:pos="397"/>
                <w:tab w:val="left" w:pos="794"/>
                <w:tab w:val="left" w:pos="1191"/>
              </w:tabs>
              <w:spacing w:before="40" w:after="40"/>
              <w:jc w:val="both"/>
              <w:rPr>
                <w:sz w:val="17"/>
                <w:szCs w:val="17"/>
              </w:rPr>
            </w:pPr>
            <w:r w:rsidRPr="000B03B8">
              <w:rPr>
                <w:i/>
                <w:sz w:val="17"/>
                <w:szCs w:val="17"/>
              </w:rPr>
              <w:t>Assets with matching interdependent liabilities</w:t>
            </w:r>
            <w:r>
              <w:rPr>
                <w:sz w:val="17"/>
                <w:szCs w:val="17"/>
              </w:rPr>
              <w:t>: any assets which meet the descriptions in BLR rule 70 and match with interdependent liabilities should be included in this row and excluded from all other RSF items</w:t>
            </w:r>
            <w:r w:rsidRPr="00986D2D">
              <w:rPr>
                <w:sz w:val="17"/>
                <w:szCs w:val="17"/>
              </w:rPr>
              <w:t>.</w:t>
            </w:r>
            <w:r>
              <w:rPr>
                <w:sz w:val="17"/>
                <w:szCs w:val="17"/>
              </w:rPr>
              <w:t xml:space="preserve">    For note-issuing banks, this row also includes the amount of </w:t>
            </w:r>
            <w:r w:rsidRPr="00B319D7">
              <w:rPr>
                <w:sz w:val="17"/>
                <w:szCs w:val="17"/>
              </w:rPr>
              <w:t xml:space="preserve">certificate of indebtedness </w:t>
            </w:r>
            <w:r>
              <w:rPr>
                <w:sz w:val="17"/>
                <w:szCs w:val="17"/>
              </w:rPr>
              <w:t xml:space="preserve">that are </w:t>
            </w:r>
            <w:r w:rsidRPr="00B319D7">
              <w:rPr>
                <w:sz w:val="17"/>
                <w:szCs w:val="17"/>
              </w:rPr>
              <w:t xml:space="preserve">issued under </w:t>
            </w:r>
            <w:r>
              <w:rPr>
                <w:sz w:val="17"/>
                <w:szCs w:val="17"/>
              </w:rPr>
              <w:t xml:space="preserve">section </w:t>
            </w:r>
            <w:r w:rsidRPr="00B319D7">
              <w:rPr>
                <w:sz w:val="17"/>
                <w:szCs w:val="17"/>
              </w:rPr>
              <w:t>4(1)</w:t>
            </w:r>
            <w:r>
              <w:rPr>
                <w:sz w:val="17"/>
                <w:szCs w:val="17"/>
              </w:rPr>
              <w:t xml:space="preserve"> of </w:t>
            </w:r>
            <w:r w:rsidRPr="00B319D7">
              <w:rPr>
                <w:sz w:val="17"/>
                <w:szCs w:val="17"/>
              </w:rPr>
              <w:t>the Exchange Fund Ordinance (Cap. 66)</w:t>
            </w:r>
            <w:r>
              <w:rPr>
                <w:sz w:val="17"/>
                <w:szCs w:val="17"/>
              </w:rPr>
              <w:t>, as follows:</w:t>
            </w:r>
          </w:p>
          <w:p w:rsidR="002A0515" w:rsidRPr="00B5213A" w:rsidRDefault="002A0515" w:rsidP="002A0515">
            <w:pPr>
              <w:pStyle w:val="ListParagraph"/>
              <w:keepLines/>
              <w:widowControl w:val="0"/>
              <w:numPr>
                <w:ilvl w:val="0"/>
                <w:numId w:val="80"/>
              </w:numPr>
              <w:tabs>
                <w:tab w:val="left" w:pos="459"/>
              </w:tabs>
              <w:spacing w:before="40" w:after="40"/>
              <w:ind w:leftChars="0" w:left="459" w:hanging="459"/>
              <w:jc w:val="both"/>
              <w:rPr>
                <w:rFonts w:cs="Times New Roman"/>
                <w:kern w:val="0"/>
                <w:sz w:val="17"/>
                <w:szCs w:val="17"/>
                <w:lang w:val="en-GB"/>
              </w:rPr>
            </w:pPr>
            <w:r>
              <w:rPr>
                <w:rFonts w:cs="Times New Roman"/>
                <w:kern w:val="0"/>
                <w:sz w:val="17"/>
                <w:szCs w:val="17"/>
                <w:lang w:val="en-GB"/>
              </w:rPr>
              <w:t>f</w:t>
            </w:r>
            <w:r w:rsidRPr="00B5213A">
              <w:rPr>
                <w:rFonts w:cs="Times New Roman"/>
                <w:kern w:val="0"/>
                <w:sz w:val="17"/>
                <w:szCs w:val="17"/>
                <w:lang w:val="en-GB"/>
              </w:rPr>
              <w:t xml:space="preserve">or unweighted value, </w:t>
            </w:r>
            <w:r w:rsidRPr="0089465D">
              <w:rPr>
                <w:rFonts w:cs="Times New Roman"/>
                <w:kern w:val="0"/>
                <w:sz w:val="17"/>
                <w:szCs w:val="17"/>
                <w:lang w:val="en-GB"/>
              </w:rPr>
              <w:t>the certificate</w:t>
            </w:r>
            <w:r>
              <w:rPr>
                <w:rFonts w:cs="Times New Roman"/>
                <w:kern w:val="0"/>
                <w:sz w:val="17"/>
                <w:szCs w:val="17"/>
                <w:lang w:val="en-GB"/>
              </w:rPr>
              <w:t>s</w:t>
            </w:r>
            <w:r w:rsidRPr="0089465D">
              <w:rPr>
                <w:rFonts w:cs="Times New Roman"/>
                <w:kern w:val="0"/>
                <w:sz w:val="17"/>
                <w:szCs w:val="17"/>
                <w:lang w:val="en-GB"/>
              </w:rPr>
              <w:t xml:space="preserve"> of indebtedness</w:t>
            </w:r>
            <w:r w:rsidRPr="00B5213A">
              <w:rPr>
                <w:rFonts w:cs="Times New Roman"/>
                <w:kern w:val="0"/>
                <w:sz w:val="17"/>
                <w:szCs w:val="17"/>
                <w:lang w:val="en-GB"/>
              </w:rPr>
              <w:t xml:space="preserve"> </w:t>
            </w:r>
            <w:r>
              <w:rPr>
                <w:rFonts w:cs="Times New Roman"/>
                <w:kern w:val="0"/>
                <w:sz w:val="17"/>
                <w:szCs w:val="17"/>
                <w:lang w:val="en-GB"/>
              </w:rPr>
              <w:t xml:space="preserve">held </w:t>
            </w:r>
            <w:r w:rsidRPr="00B5213A">
              <w:rPr>
                <w:rFonts w:cs="Times New Roman"/>
                <w:kern w:val="0"/>
                <w:sz w:val="17"/>
                <w:szCs w:val="17"/>
                <w:lang w:val="en-GB"/>
              </w:rPr>
              <w:t>should be included in column (a) for ‘no specified term to maturity’;</w:t>
            </w:r>
          </w:p>
          <w:p w:rsidR="002A0515" w:rsidRPr="0078134A" w:rsidRDefault="002A0515" w:rsidP="002A0515">
            <w:pPr>
              <w:pStyle w:val="ListParagraph"/>
              <w:keepLines/>
              <w:widowControl w:val="0"/>
              <w:numPr>
                <w:ilvl w:val="0"/>
                <w:numId w:val="80"/>
              </w:numPr>
              <w:tabs>
                <w:tab w:val="left" w:pos="459"/>
              </w:tabs>
              <w:spacing w:before="40" w:after="40"/>
              <w:ind w:leftChars="0" w:left="459" w:hanging="459"/>
              <w:jc w:val="both"/>
              <w:rPr>
                <w:sz w:val="17"/>
                <w:szCs w:val="17"/>
              </w:rPr>
            </w:pPr>
            <w:r>
              <w:rPr>
                <w:rFonts w:cs="Times New Roman"/>
                <w:kern w:val="0"/>
                <w:sz w:val="17"/>
                <w:szCs w:val="17"/>
                <w:lang w:val="en-GB"/>
              </w:rPr>
              <w:t>f</w:t>
            </w:r>
            <w:r w:rsidRPr="00B5213A">
              <w:rPr>
                <w:rFonts w:cs="Times New Roman"/>
                <w:kern w:val="0"/>
                <w:sz w:val="17"/>
                <w:szCs w:val="17"/>
                <w:lang w:val="en-GB"/>
              </w:rPr>
              <w:t>or weighted value, a note-issuing bank may choose either to (a) treat the amount for certificate</w:t>
            </w:r>
            <w:r>
              <w:rPr>
                <w:rFonts w:cs="Times New Roman"/>
                <w:kern w:val="0"/>
                <w:sz w:val="17"/>
                <w:szCs w:val="17"/>
                <w:lang w:val="en-GB"/>
              </w:rPr>
              <w:t>s</w:t>
            </w:r>
            <w:r w:rsidRPr="00B5213A">
              <w:rPr>
                <w:rFonts w:cs="Times New Roman"/>
                <w:kern w:val="0"/>
                <w:sz w:val="17"/>
                <w:szCs w:val="17"/>
                <w:lang w:val="en-GB"/>
              </w:rPr>
              <w:t xml:space="preserve"> of indebtedness as $0; or (b) apply </w:t>
            </w:r>
            <w:r>
              <w:rPr>
                <w:rFonts w:cs="Times New Roman"/>
                <w:kern w:val="0"/>
                <w:sz w:val="17"/>
                <w:szCs w:val="17"/>
                <w:lang w:val="en-GB"/>
              </w:rPr>
              <w:t xml:space="preserve">BLR </w:t>
            </w:r>
            <w:r w:rsidRPr="00B5213A">
              <w:rPr>
                <w:rFonts w:cs="Times New Roman"/>
                <w:kern w:val="0"/>
                <w:sz w:val="17"/>
                <w:szCs w:val="17"/>
                <w:lang w:val="en-GB"/>
              </w:rPr>
              <w:t>rules 65 and 68 to determine such weighted amounts in accordance with BLR rule 69(2).</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26</w:t>
            </w:r>
          </w:p>
        </w:tc>
        <w:tc>
          <w:tcPr>
            <w:tcW w:w="8505" w:type="dxa"/>
          </w:tcPr>
          <w:p w:rsidR="002A0515" w:rsidRPr="0078134A" w:rsidRDefault="002A0515" w:rsidP="00A54BE4">
            <w:pPr>
              <w:pStyle w:val="TableNote"/>
              <w:spacing w:before="40" w:after="40"/>
              <w:rPr>
                <w:sz w:val="17"/>
                <w:szCs w:val="17"/>
              </w:rPr>
            </w:pPr>
            <w:r w:rsidRPr="000B03B8">
              <w:rPr>
                <w:i/>
                <w:sz w:val="17"/>
                <w:szCs w:val="17"/>
              </w:rPr>
              <w:t>Other assets</w:t>
            </w:r>
            <w:r>
              <w:rPr>
                <w:sz w:val="17"/>
                <w:szCs w:val="17"/>
              </w:rPr>
              <w:t>:</w:t>
            </w:r>
            <w:r w:rsidRPr="000841AB">
              <w:rPr>
                <w:sz w:val="17"/>
                <w:szCs w:val="17"/>
              </w:rPr>
              <w:t xml:space="preserve"> the sum of </w:t>
            </w:r>
            <w:r>
              <w:rPr>
                <w:sz w:val="17"/>
                <w:szCs w:val="17"/>
              </w:rPr>
              <w:t xml:space="preserve">values in </w:t>
            </w:r>
            <w:r w:rsidRPr="000841AB">
              <w:rPr>
                <w:sz w:val="17"/>
                <w:szCs w:val="17"/>
              </w:rPr>
              <w:t>rows 27</w:t>
            </w:r>
            <w:r>
              <w:rPr>
                <w:sz w:val="17"/>
                <w:szCs w:val="17"/>
              </w:rPr>
              <w:t xml:space="preserve"> to </w:t>
            </w:r>
            <w:r w:rsidRPr="000841AB">
              <w:rPr>
                <w:sz w:val="17"/>
                <w:szCs w:val="17"/>
              </w:rPr>
              <w:t>31.</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27</w:t>
            </w:r>
          </w:p>
        </w:tc>
        <w:tc>
          <w:tcPr>
            <w:tcW w:w="8505" w:type="dxa"/>
          </w:tcPr>
          <w:p w:rsidR="002A0515" w:rsidRPr="0078134A" w:rsidRDefault="002A0515" w:rsidP="00A54BE4">
            <w:pPr>
              <w:pStyle w:val="TableNote"/>
              <w:spacing w:before="40" w:after="40"/>
              <w:rPr>
                <w:sz w:val="17"/>
                <w:szCs w:val="17"/>
              </w:rPr>
            </w:pPr>
            <w:r w:rsidRPr="000B03B8">
              <w:rPr>
                <w:i/>
                <w:sz w:val="17"/>
                <w:szCs w:val="17"/>
              </w:rPr>
              <w:t>Physical traded commodities, including gold</w:t>
            </w:r>
            <w:r>
              <w:rPr>
                <w:sz w:val="17"/>
                <w:szCs w:val="17"/>
              </w:rPr>
              <w:t>: including all p</w:t>
            </w:r>
            <w:r w:rsidRPr="00131389">
              <w:rPr>
                <w:sz w:val="17"/>
                <w:szCs w:val="17"/>
              </w:rPr>
              <w:t xml:space="preserve">hysical traded commodities held by the </w:t>
            </w:r>
            <w:r>
              <w:rPr>
                <w:sz w:val="17"/>
                <w:szCs w:val="17"/>
              </w:rPr>
              <w:t>AI</w:t>
            </w:r>
            <w:r w:rsidRPr="006A0538">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28</w:t>
            </w:r>
          </w:p>
        </w:tc>
        <w:tc>
          <w:tcPr>
            <w:tcW w:w="8505" w:type="dxa"/>
          </w:tcPr>
          <w:p w:rsidR="002A0515" w:rsidRPr="0078134A" w:rsidRDefault="002A0515" w:rsidP="00A54BE4">
            <w:pPr>
              <w:pStyle w:val="TableNote"/>
              <w:spacing w:before="40" w:after="40"/>
              <w:rPr>
                <w:sz w:val="17"/>
                <w:szCs w:val="17"/>
              </w:rPr>
            </w:pPr>
            <w:r w:rsidRPr="000B03B8">
              <w:rPr>
                <w:i/>
                <w:sz w:val="17"/>
                <w:szCs w:val="17"/>
              </w:rPr>
              <w:t>Assets posted as initial margin for derivative contracts and contributions to default funds of CCPs</w:t>
            </w:r>
            <w:r>
              <w:rPr>
                <w:sz w:val="17"/>
                <w:szCs w:val="17"/>
              </w:rPr>
              <w:t>: including cash, securities and other a</w:t>
            </w:r>
            <w:r w:rsidRPr="006F0CA4">
              <w:rPr>
                <w:sz w:val="17"/>
                <w:szCs w:val="17"/>
              </w:rPr>
              <w:t xml:space="preserve">ssets posted by the </w:t>
            </w:r>
            <w:r>
              <w:rPr>
                <w:sz w:val="17"/>
                <w:szCs w:val="17"/>
              </w:rPr>
              <w:t>AI</w:t>
            </w:r>
            <w:r w:rsidRPr="006F0CA4">
              <w:rPr>
                <w:sz w:val="17"/>
                <w:szCs w:val="17"/>
              </w:rPr>
              <w:t xml:space="preserve"> as initial margins or default fund contributions</w:t>
            </w:r>
            <w:r>
              <w:rPr>
                <w:sz w:val="17"/>
                <w:szCs w:val="17"/>
              </w:rPr>
              <w:t xml:space="preserve"> under all derivative contracts regardless of whether the assets are maintained on the AI’s balance sheet</w:t>
            </w:r>
            <w:r w:rsidRPr="006A0538">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29</w:t>
            </w:r>
          </w:p>
        </w:tc>
        <w:tc>
          <w:tcPr>
            <w:tcW w:w="8505" w:type="dxa"/>
          </w:tcPr>
          <w:p w:rsidR="002A0515" w:rsidRPr="0078134A" w:rsidRDefault="002A0515" w:rsidP="00A54BE4">
            <w:pPr>
              <w:pStyle w:val="TableNote"/>
              <w:spacing w:before="40" w:after="40"/>
              <w:rPr>
                <w:sz w:val="17"/>
                <w:szCs w:val="17"/>
              </w:rPr>
            </w:pPr>
            <w:r>
              <w:rPr>
                <w:i/>
                <w:sz w:val="17"/>
                <w:szCs w:val="17"/>
              </w:rPr>
              <w:t xml:space="preserve">Net </w:t>
            </w:r>
            <w:r w:rsidRPr="001D77C7">
              <w:rPr>
                <w:i/>
                <w:sz w:val="17"/>
                <w:szCs w:val="17"/>
              </w:rPr>
              <w:t>derivative</w:t>
            </w:r>
            <w:r>
              <w:rPr>
                <w:i/>
                <w:sz w:val="17"/>
                <w:szCs w:val="17"/>
              </w:rPr>
              <w:t xml:space="preserve"> asset</w:t>
            </w:r>
            <w:r w:rsidRPr="001D77C7">
              <w:rPr>
                <w:i/>
                <w:sz w:val="17"/>
                <w:szCs w:val="17"/>
              </w:rPr>
              <w:t>s</w:t>
            </w:r>
            <w:r>
              <w:rPr>
                <w:sz w:val="17"/>
                <w:szCs w:val="17"/>
              </w:rPr>
              <w:t>: i</w:t>
            </w:r>
            <w:r w:rsidRPr="006A0538">
              <w:rPr>
                <w:sz w:val="17"/>
                <w:szCs w:val="17"/>
              </w:rPr>
              <w:t xml:space="preserve">n the unweighted cell, report </w:t>
            </w:r>
            <w:r>
              <w:rPr>
                <w:sz w:val="17"/>
                <w:szCs w:val="17"/>
              </w:rPr>
              <w:t xml:space="preserve">the amount of net </w:t>
            </w:r>
            <w:r w:rsidRPr="006A0538">
              <w:rPr>
                <w:sz w:val="17"/>
                <w:szCs w:val="17"/>
              </w:rPr>
              <w:t xml:space="preserve">derivative assets as calculated according to </w:t>
            </w:r>
            <w:r>
              <w:rPr>
                <w:sz w:val="17"/>
                <w:szCs w:val="17"/>
              </w:rPr>
              <w:t>Part 9 of the BLR (i.e. the net amount of the total derivative assets (after adjustments) in excess of total derivative liabilities (after adjustments))</w:t>
            </w:r>
            <w:r w:rsidRPr="006A0538">
              <w:rPr>
                <w:sz w:val="17"/>
                <w:szCs w:val="17"/>
              </w:rPr>
              <w:t xml:space="preserve">. </w:t>
            </w:r>
            <w:r>
              <w:rPr>
                <w:sz w:val="17"/>
                <w:szCs w:val="17"/>
              </w:rPr>
              <w:t xml:space="preserve"> Since net derivative assets are subject to an RSF factor of 100%, the amount reported in the weighted cell should be equal to the amount reported in the unweighted cell. </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30</w:t>
            </w:r>
          </w:p>
        </w:tc>
        <w:tc>
          <w:tcPr>
            <w:tcW w:w="8505" w:type="dxa"/>
          </w:tcPr>
          <w:p w:rsidR="002A0515" w:rsidRPr="0078134A" w:rsidRDefault="002A0515" w:rsidP="00A54BE4">
            <w:pPr>
              <w:pStyle w:val="TableNote"/>
              <w:spacing w:before="40" w:after="40"/>
              <w:rPr>
                <w:sz w:val="17"/>
                <w:szCs w:val="17"/>
              </w:rPr>
            </w:pPr>
            <w:r>
              <w:rPr>
                <w:i/>
                <w:sz w:val="17"/>
                <w:szCs w:val="17"/>
                <w:lang w:eastAsia="it-IT"/>
              </w:rPr>
              <w:t xml:space="preserve">Total </w:t>
            </w:r>
            <w:r w:rsidRPr="000B03B8">
              <w:rPr>
                <w:i/>
                <w:sz w:val="17"/>
                <w:szCs w:val="17"/>
                <w:lang w:eastAsia="it-IT"/>
              </w:rPr>
              <w:t xml:space="preserve">derivative liabilities before </w:t>
            </w:r>
            <w:r>
              <w:rPr>
                <w:i/>
                <w:sz w:val="17"/>
                <w:szCs w:val="17"/>
                <w:lang w:eastAsia="it-IT"/>
              </w:rPr>
              <w:t xml:space="preserve">adjustments for </w:t>
            </w:r>
            <w:r w:rsidRPr="00667E57">
              <w:rPr>
                <w:rFonts w:hint="eastAsia"/>
                <w:i/>
                <w:sz w:val="17"/>
                <w:szCs w:val="17"/>
                <w:lang w:eastAsia="it-IT"/>
              </w:rPr>
              <w:t>deduction</w:t>
            </w:r>
            <w:r w:rsidRPr="000B03B8">
              <w:rPr>
                <w:i/>
                <w:sz w:val="17"/>
                <w:szCs w:val="17"/>
                <w:lang w:eastAsia="it-IT"/>
              </w:rPr>
              <w:t xml:space="preserve"> of variation margin posted</w:t>
            </w:r>
            <w:r w:rsidRPr="00584ECF">
              <w:rPr>
                <w:sz w:val="17"/>
                <w:szCs w:val="17"/>
              </w:rPr>
              <w:t xml:space="preserve">: report </w:t>
            </w:r>
            <w:r>
              <w:rPr>
                <w:sz w:val="17"/>
                <w:szCs w:val="17"/>
              </w:rPr>
              <w:t xml:space="preserve">in this row the amount of total derivative liabilities (before adjustments) according to Part 9 of the BLR (i.e. the sum of the replacement costs of derivative contracts between the reporting AI and its counterparties, where each of those contracts has a negative replacement cost before adjustments for any variation margin posted by the reporting AI to the counterparty under the contract).  The reported value should be in an absolute term (i.e. disregard the negative sign).  </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31</w:t>
            </w:r>
          </w:p>
        </w:tc>
        <w:tc>
          <w:tcPr>
            <w:tcW w:w="8505" w:type="dxa"/>
          </w:tcPr>
          <w:p w:rsidR="002A0515" w:rsidRPr="00B22D08" w:rsidRDefault="002A0515" w:rsidP="00A54BE4">
            <w:pPr>
              <w:pStyle w:val="TableNote"/>
              <w:spacing w:before="40" w:after="40"/>
              <w:rPr>
                <w:sz w:val="17"/>
                <w:szCs w:val="17"/>
              </w:rPr>
            </w:pPr>
            <w:r w:rsidRPr="000B03B8">
              <w:rPr>
                <w:i/>
                <w:sz w:val="17"/>
                <w:szCs w:val="17"/>
              </w:rPr>
              <w:t>All other assets not included in the above categories</w:t>
            </w:r>
            <w:r>
              <w:rPr>
                <w:sz w:val="17"/>
                <w:szCs w:val="17"/>
              </w:rPr>
              <w:t>: report in this row a</w:t>
            </w:r>
            <w:r w:rsidRPr="006C0223">
              <w:rPr>
                <w:sz w:val="17"/>
                <w:szCs w:val="17"/>
              </w:rPr>
              <w:t xml:space="preserve">ll other </w:t>
            </w:r>
            <w:r>
              <w:rPr>
                <w:sz w:val="17"/>
                <w:szCs w:val="17"/>
              </w:rPr>
              <w:t>on-balance sheet assets</w:t>
            </w:r>
            <w:r w:rsidRPr="006C0223">
              <w:rPr>
                <w:sz w:val="17"/>
                <w:szCs w:val="17"/>
              </w:rPr>
              <w:t xml:space="preserve"> </w:t>
            </w:r>
            <w:r>
              <w:rPr>
                <w:sz w:val="17"/>
                <w:szCs w:val="17"/>
              </w:rPr>
              <w:t xml:space="preserve">that are counted towards RSF under the BLR but </w:t>
            </w:r>
            <w:r w:rsidRPr="006C0223">
              <w:rPr>
                <w:sz w:val="17"/>
                <w:szCs w:val="17"/>
              </w:rPr>
              <w:t xml:space="preserve">not included in </w:t>
            </w:r>
            <w:r>
              <w:rPr>
                <w:sz w:val="17"/>
                <w:szCs w:val="17"/>
              </w:rPr>
              <w:t xml:space="preserve">rows 15 to 29 </w:t>
            </w:r>
            <w:r w:rsidRPr="006C0223">
              <w:rPr>
                <w:sz w:val="17"/>
                <w:szCs w:val="17"/>
              </w:rPr>
              <w:t>above</w:t>
            </w:r>
            <w:r>
              <w:rPr>
                <w:sz w:val="17"/>
                <w:szCs w:val="17"/>
              </w:rPr>
              <w:t xml:space="preserve"> (e.g. trade-date receivables, fixed assets, goodwill, investments in associated entities, unlisted equities, non-performing assets, </w:t>
            </w:r>
            <w:proofErr w:type="spellStart"/>
            <w:r>
              <w:rPr>
                <w:sz w:val="17"/>
                <w:szCs w:val="17"/>
              </w:rPr>
              <w:t>etc</w:t>
            </w:r>
            <w:proofErr w:type="spellEnd"/>
            <w:r>
              <w:rPr>
                <w:sz w:val="17"/>
                <w:szCs w:val="17"/>
              </w:rPr>
              <w:t>)</w:t>
            </w:r>
            <w:r w:rsidRPr="00B22D08">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32</w:t>
            </w:r>
          </w:p>
        </w:tc>
        <w:tc>
          <w:tcPr>
            <w:tcW w:w="8505" w:type="dxa"/>
          </w:tcPr>
          <w:p w:rsidR="002A0515" w:rsidRPr="00B22D08" w:rsidRDefault="002A0515" w:rsidP="00A54BE4">
            <w:pPr>
              <w:pStyle w:val="TableNote"/>
              <w:spacing w:before="40" w:after="40"/>
              <w:rPr>
                <w:sz w:val="17"/>
                <w:szCs w:val="17"/>
              </w:rPr>
            </w:pPr>
            <w:r w:rsidRPr="000B03B8">
              <w:rPr>
                <w:i/>
                <w:sz w:val="17"/>
                <w:szCs w:val="17"/>
              </w:rPr>
              <w:t>Off-balance sheet items</w:t>
            </w:r>
            <w:r>
              <w:rPr>
                <w:sz w:val="17"/>
                <w:szCs w:val="17"/>
              </w:rPr>
              <w:t>: the sum of all o</w:t>
            </w:r>
            <w:r w:rsidRPr="00EA0348">
              <w:rPr>
                <w:sz w:val="17"/>
                <w:szCs w:val="17"/>
              </w:rPr>
              <w:t>ff-balance sheet obligations listed in Table 2</w:t>
            </w:r>
            <w:r>
              <w:rPr>
                <w:sz w:val="17"/>
                <w:szCs w:val="17"/>
              </w:rPr>
              <w:t xml:space="preserve">, </w:t>
            </w:r>
            <w:r w:rsidRPr="00EA0348">
              <w:rPr>
                <w:sz w:val="17"/>
                <w:szCs w:val="17"/>
              </w:rPr>
              <w:t>Schedule 6</w:t>
            </w:r>
            <w:r>
              <w:rPr>
                <w:sz w:val="17"/>
                <w:szCs w:val="17"/>
              </w:rPr>
              <w:t xml:space="preserve"> to the BLR</w:t>
            </w:r>
            <w:r w:rsidRPr="00B22D08">
              <w:rPr>
                <w:sz w:val="17"/>
                <w:szCs w:val="17"/>
              </w:rPr>
              <w:t>.</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33</w:t>
            </w:r>
          </w:p>
        </w:tc>
        <w:tc>
          <w:tcPr>
            <w:tcW w:w="8505" w:type="dxa"/>
          </w:tcPr>
          <w:p w:rsidR="002A0515" w:rsidRPr="00B22D08" w:rsidRDefault="002A0515" w:rsidP="00A54BE4">
            <w:pPr>
              <w:pStyle w:val="TableNote"/>
              <w:spacing w:before="40" w:after="40"/>
              <w:rPr>
                <w:sz w:val="17"/>
                <w:szCs w:val="17"/>
              </w:rPr>
            </w:pPr>
            <w:r w:rsidRPr="000B03B8">
              <w:rPr>
                <w:i/>
                <w:sz w:val="17"/>
                <w:szCs w:val="17"/>
              </w:rPr>
              <w:t>Total RSF</w:t>
            </w:r>
            <w:r>
              <w:rPr>
                <w:sz w:val="17"/>
                <w:szCs w:val="17"/>
              </w:rPr>
              <w:t>:</w:t>
            </w:r>
            <w:r w:rsidRPr="00B22D08">
              <w:rPr>
                <w:sz w:val="17"/>
                <w:szCs w:val="17"/>
              </w:rPr>
              <w:t xml:space="preserve"> the sum of all weighted </w:t>
            </w:r>
            <w:r>
              <w:rPr>
                <w:sz w:val="17"/>
                <w:szCs w:val="17"/>
              </w:rPr>
              <w:t>amount</w:t>
            </w:r>
            <w:r w:rsidRPr="00B22D08">
              <w:rPr>
                <w:sz w:val="17"/>
                <w:szCs w:val="17"/>
              </w:rPr>
              <w:t>s in rows 15, 16, 17, 25, 26 and 32.</w:t>
            </w:r>
          </w:p>
        </w:tc>
      </w:tr>
      <w:tr w:rsidR="002A0515" w:rsidRPr="00280717" w:rsidTr="00A54BE4">
        <w:trPr>
          <w:trHeight w:val="373"/>
        </w:trPr>
        <w:tc>
          <w:tcPr>
            <w:tcW w:w="568"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34</w:t>
            </w:r>
          </w:p>
        </w:tc>
        <w:tc>
          <w:tcPr>
            <w:tcW w:w="8505" w:type="dxa"/>
          </w:tcPr>
          <w:p w:rsidR="002A0515" w:rsidRPr="00B22D08" w:rsidRDefault="002A0515" w:rsidP="00A54BE4">
            <w:pPr>
              <w:pStyle w:val="TableNote"/>
              <w:spacing w:before="40" w:after="40"/>
              <w:rPr>
                <w:sz w:val="17"/>
                <w:szCs w:val="17"/>
              </w:rPr>
            </w:pPr>
            <w:r w:rsidRPr="000B03B8">
              <w:rPr>
                <w:i/>
                <w:sz w:val="17"/>
                <w:szCs w:val="17"/>
              </w:rPr>
              <w:t>Net Stable Funding Ratio (%)</w:t>
            </w:r>
            <w:r>
              <w:rPr>
                <w:sz w:val="17"/>
                <w:szCs w:val="17"/>
              </w:rPr>
              <w:t>:</w:t>
            </w:r>
            <w:r w:rsidRPr="00B22D08">
              <w:rPr>
                <w:sz w:val="17"/>
                <w:szCs w:val="17"/>
              </w:rPr>
              <w:t xml:space="preserve"> presen</w:t>
            </w:r>
            <w:r>
              <w:rPr>
                <w:sz w:val="17"/>
                <w:szCs w:val="17"/>
              </w:rPr>
              <w:t>ted as quarter-end observations</w:t>
            </w:r>
            <w:r w:rsidRPr="00B22D08">
              <w:rPr>
                <w:sz w:val="17"/>
                <w:szCs w:val="17"/>
              </w:rPr>
              <w:t>.</w:t>
            </w:r>
          </w:p>
        </w:tc>
      </w:tr>
    </w:tbl>
    <w:p w:rsidR="002A0515" w:rsidRDefault="002A0515" w:rsidP="002A0515">
      <w:pPr>
        <w:spacing w:before="120" w:after="120"/>
        <w:rPr>
          <w:sz w:val="22"/>
        </w:rPr>
      </w:pPr>
    </w:p>
    <w:p w:rsidR="002A0515" w:rsidRDefault="002A0515" w:rsidP="002A0515"/>
    <w:p w:rsidR="002A0515" w:rsidRDefault="002A0515" w:rsidP="002A0515">
      <w:pPr>
        <w:keepNext/>
        <w:keepLines/>
        <w:tabs>
          <w:tab w:val="left" w:pos="426"/>
        </w:tabs>
        <w:spacing w:after="360"/>
        <w:ind w:rightChars="-142" w:right="-284"/>
        <w:outlineLvl w:val="0"/>
        <w:sectPr w:rsidR="002A0515" w:rsidSect="00A54BE4">
          <w:footerReference w:type="default" r:id="rId18"/>
          <w:pgSz w:w="11906" w:h="16838"/>
          <w:pgMar w:top="1440" w:right="1800" w:bottom="1440" w:left="1800" w:header="851" w:footer="992" w:gutter="0"/>
          <w:cols w:space="425"/>
          <w:docGrid w:type="lines" w:linePitch="360"/>
        </w:sectPr>
      </w:pPr>
    </w:p>
    <w:p w:rsidR="002A0515" w:rsidRPr="00476CF1" w:rsidRDefault="002A0515" w:rsidP="001449B5">
      <w:pPr>
        <w:keepNext/>
        <w:keepLines/>
        <w:tabs>
          <w:tab w:val="left" w:pos="567"/>
        </w:tabs>
        <w:spacing w:after="360"/>
        <w:ind w:leftChars="-283" w:left="-566" w:rightChars="-142" w:right="-284"/>
        <w:outlineLvl w:val="0"/>
        <w:rPr>
          <w:color w:val="AA322F"/>
          <w:sz w:val="28"/>
        </w:rPr>
      </w:pPr>
      <w:r w:rsidRPr="00476CF1">
        <w:rPr>
          <w:color w:val="AA322F"/>
          <w:sz w:val="28"/>
        </w:rPr>
        <w:t>Part IV: Counterparty Credit risk</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A0515" w:rsidTr="00A54BE4">
        <w:tc>
          <w:tcPr>
            <w:tcW w:w="9242" w:type="dxa"/>
            <w:gridSpan w:val="2"/>
            <w:tcBorders>
              <w:top w:val="nil"/>
            </w:tcBorders>
          </w:tcPr>
          <w:p w:rsidR="002A0515" w:rsidRDefault="002A0515" w:rsidP="00A54BE4">
            <w:pPr>
              <w:spacing w:before="40" w:after="40"/>
              <w:jc w:val="both"/>
              <w:rPr>
                <w:noProof/>
                <w:sz w:val="17"/>
                <w:lang w:eastAsia="en-GB"/>
              </w:rPr>
            </w:pPr>
            <w:r>
              <w:rPr>
                <w:sz w:val="22"/>
              </w:rPr>
              <w:t>Template CCR1: Analysis of counterparty default risk exposures (other than those to CCPs) by approaches</w:t>
            </w:r>
          </w:p>
        </w:tc>
      </w:tr>
      <w:tr w:rsidR="002A0515" w:rsidTr="00A54BE4">
        <w:tc>
          <w:tcPr>
            <w:tcW w:w="2008" w:type="dxa"/>
          </w:tcPr>
          <w:p w:rsidR="002A0515" w:rsidRDefault="002A0515" w:rsidP="00A54BE4">
            <w:pPr>
              <w:spacing w:before="40" w:after="40"/>
              <w:rPr>
                <w:noProof/>
                <w:sz w:val="17"/>
                <w:lang w:eastAsia="en-GB"/>
              </w:rPr>
            </w:pPr>
            <w:r>
              <w:rPr>
                <w:b/>
                <w:sz w:val="17"/>
                <w:lang w:eastAsia="en-GB"/>
              </w:rPr>
              <w:t>Purpose:</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 xml:space="preserve">To provide a comprehensive breakdown of default risk exposures (other than those to CCPs), RWAs, and, where applicable, main parameters under the approaches used to calculate default risk exposures in respect of derivative contracts and SFTs.  </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Scope of application: </w:t>
            </w:r>
          </w:p>
        </w:tc>
        <w:tc>
          <w:tcPr>
            <w:tcW w:w="7234" w:type="dxa"/>
          </w:tcPr>
          <w:p w:rsidR="002A0515" w:rsidRDefault="002A0515" w:rsidP="00A54BE4">
            <w:pPr>
              <w:spacing w:before="40" w:after="40"/>
              <w:jc w:val="both"/>
              <w:rPr>
                <w:rFonts w:eastAsia="新細明體"/>
                <w:b/>
                <w:sz w:val="17"/>
                <w:lang w:eastAsia="en-GB"/>
              </w:rPr>
            </w:pPr>
            <w:r>
              <w:rPr>
                <w:rFonts w:eastAsia="新細明體"/>
                <w:sz w:val="17"/>
                <w:lang w:eastAsia="en-GB"/>
              </w:rPr>
              <w:t>The template is mandatory for all AIs</w:t>
            </w:r>
            <w:r>
              <w:t xml:space="preserve"> </w:t>
            </w:r>
            <w:r>
              <w:rPr>
                <w:rFonts w:eastAsia="新細明體"/>
                <w:sz w:val="17"/>
                <w:lang w:eastAsia="en-GB"/>
              </w:rPr>
              <w:t>incorporated in Hong Kong.</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Content: </w:t>
            </w:r>
          </w:p>
        </w:tc>
        <w:tc>
          <w:tcPr>
            <w:tcW w:w="7234" w:type="dxa"/>
          </w:tcPr>
          <w:p w:rsidR="002A0515" w:rsidRDefault="002A0515" w:rsidP="00A54BE4">
            <w:pPr>
              <w:spacing w:before="40" w:after="40"/>
              <w:jc w:val="both"/>
              <w:rPr>
                <w:rFonts w:eastAsia="新細明體"/>
                <w:b/>
                <w:sz w:val="17"/>
                <w:lang w:eastAsia="en-GB"/>
              </w:rPr>
            </w:pPr>
            <w:r>
              <w:rPr>
                <w:rFonts w:eastAsia="新細明體"/>
                <w:sz w:val="17"/>
                <w:lang w:eastAsia="en-GB"/>
              </w:rPr>
              <w:t>Default risk exposures (other than those to CCPs), RWA and parameters used to calculate the AI’s default risk exposures in respect of derivative contracts and SFTs.</w:t>
            </w:r>
          </w:p>
        </w:tc>
      </w:tr>
      <w:tr w:rsidR="002A0515" w:rsidTr="00A54BE4">
        <w:tc>
          <w:tcPr>
            <w:tcW w:w="2008" w:type="dxa"/>
          </w:tcPr>
          <w:p w:rsidR="002A0515" w:rsidRDefault="002A0515" w:rsidP="00A54BE4">
            <w:pPr>
              <w:spacing w:before="40" w:after="40"/>
              <w:rPr>
                <w:sz w:val="17"/>
                <w:lang w:eastAsia="en-GB"/>
              </w:rPr>
            </w:pPr>
            <w:r>
              <w:rPr>
                <w:b/>
                <w:sz w:val="17"/>
                <w:lang w:eastAsia="en-GB"/>
              </w:rPr>
              <w:t>Frequency:</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Semi-annual.</w:t>
            </w:r>
          </w:p>
        </w:tc>
      </w:tr>
      <w:tr w:rsidR="002A0515" w:rsidTr="00A54BE4">
        <w:tc>
          <w:tcPr>
            <w:tcW w:w="2008" w:type="dxa"/>
          </w:tcPr>
          <w:p w:rsidR="002A0515" w:rsidRDefault="002A0515" w:rsidP="00A54BE4">
            <w:pPr>
              <w:spacing w:before="40" w:after="40"/>
              <w:rPr>
                <w:sz w:val="17"/>
                <w:lang w:eastAsia="en-GB"/>
              </w:rPr>
            </w:pPr>
            <w:r>
              <w:rPr>
                <w:b/>
                <w:sz w:val="17"/>
                <w:lang w:eastAsia="en-GB"/>
              </w:rPr>
              <w:t>Format:</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Fixed.</w:t>
            </w:r>
          </w:p>
        </w:tc>
      </w:tr>
      <w:tr w:rsidR="002A0515" w:rsidTr="00A54BE4">
        <w:tc>
          <w:tcPr>
            <w:tcW w:w="2008" w:type="dxa"/>
          </w:tcPr>
          <w:p w:rsidR="002A0515" w:rsidRDefault="002A0515" w:rsidP="00A54BE4">
            <w:pPr>
              <w:spacing w:before="40" w:after="40"/>
              <w:rPr>
                <w:b/>
                <w:sz w:val="17"/>
                <w:lang w:eastAsia="en-GB"/>
              </w:rPr>
            </w:pPr>
            <w:r>
              <w:rPr>
                <w:rFonts w:eastAsia="新細明體"/>
                <w:b/>
                <w:sz w:val="17"/>
                <w:szCs w:val="17"/>
                <w:lang w:eastAsia="en-GB"/>
              </w:rPr>
              <w:t>Accompanying narrative</w:t>
            </w:r>
            <w:r>
              <w:rPr>
                <w:rFonts w:eastAsia="新細明體"/>
                <w:sz w:val="17"/>
                <w:szCs w:val="17"/>
                <w:lang w:eastAsia="en-GB"/>
              </w:rPr>
              <w:t>:</w:t>
            </w:r>
          </w:p>
        </w:tc>
        <w:tc>
          <w:tcPr>
            <w:tcW w:w="7234" w:type="dxa"/>
          </w:tcPr>
          <w:p w:rsidR="002A0515" w:rsidRDefault="002A0515" w:rsidP="00A54BE4">
            <w:pPr>
              <w:pStyle w:val="TableText"/>
              <w:jc w:val="both"/>
              <w:rPr>
                <w:noProof/>
                <w:lang w:eastAsia="en-GB"/>
              </w:rPr>
            </w:pPr>
            <w:r>
              <w:rPr>
                <w:szCs w:val="17"/>
                <w:lang w:eastAsia="en-GB"/>
              </w:rPr>
              <w:t>An AI should supplement the template with a narrative commentary to explain any material changes in relation to its RWA in the current reporting period and the key drivers of such changes.</w:t>
            </w:r>
          </w:p>
        </w:tc>
      </w:tr>
      <w:tr w:rsidR="002A0515" w:rsidTr="00A54BE4">
        <w:tc>
          <w:tcPr>
            <w:tcW w:w="2008" w:type="dxa"/>
          </w:tcPr>
          <w:p w:rsidR="002A0515" w:rsidRDefault="002A0515" w:rsidP="00A54BE4">
            <w:pPr>
              <w:spacing w:before="40" w:after="40"/>
              <w:rPr>
                <w:rFonts w:eastAsia="新細明體"/>
                <w:b/>
                <w:sz w:val="17"/>
                <w:szCs w:val="17"/>
                <w:lang w:eastAsia="en-GB"/>
              </w:rPr>
            </w:pPr>
            <w:r>
              <w:rPr>
                <w:rFonts w:eastAsia="新細明體"/>
                <w:b/>
                <w:sz w:val="17"/>
                <w:szCs w:val="17"/>
                <w:lang w:eastAsia="en-GB"/>
              </w:rPr>
              <w:t>Corresponding BDR section:</w:t>
            </w:r>
          </w:p>
        </w:tc>
        <w:tc>
          <w:tcPr>
            <w:tcW w:w="7234" w:type="dxa"/>
          </w:tcPr>
          <w:p w:rsidR="002A0515" w:rsidRDefault="002A0515" w:rsidP="00A54BE4">
            <w:pPr>
              <w:pStyle w:val="TableText"/>
              <w:jc w:val="both"/>
              <w:rPr>
                <w:szCs w:val="17"/>
                <w:lang w:eastAsia="en-GB"/>
              </w:rPr>
            </w:pPr>
            <w:r>
              <w:rPr>
                <w:szCs w:val="17"/>
                <w:lang w:eastAsia="en-GB"/>
              </w:rPr>
              <w:t>16W</w:t>
            </w:r>
          </w:p>
        </w:tc>
      </w:tr>
    </w:tbl>
    <w:p w:rsidR="002A0515" w:rsidRDefault="002A0515" w:rsidP="002A0515">
      <w:pPr>
        <w:spacing w:before="120" w:after="120"/>
        <w:ind w:leftChars="-283" w:left="-566"/>
        <w:rPr>
          <w:sz w:val="22"/>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425"/>
        <w:gridCol w:w="2977"/>
        <w:gridCol w:w="1134"/>
        <w:gridCol w:w="709"/>
        <w:gridCol w:w="851"/>
        <w:gridCol w:w="1416"/>
        <w:gridCol w:w="993"/>
        <w:gridCol w:w="709"/>
      </w:tblGrid>
      <w:tr w:rsidR="002A0515" w:rsidTr="00A54BE4">
        <w:trPr>
          <w:cantSplit/>
          <w:tblHeader/>
        </w:trPr>
        <w:tc>
          <w:tcPr>
            <w:tcW w:w="425" w:type="dxa"/>
            <w:tcBorders>
              <w:top w:val="nil"/>
              <w:left w:val="nil"/>
              <w:bottom w:val="nil"/>
              <w:right w:val="nil"/>
            </w:tcBorders>
          </w:tcPr>
          <w:p w:rsidR="002A0515" w:rsidRDefault="002A0515" w:rsidP="00A54BE4">
            <w:pPr>
              <w:pStyle w:val="TableText"/>
              <w:snapToGrid w:val="0"/>
              <w:rPr>
                <w:szCs w:val="17"/>
                <w:lang w:eastAsia="en-GB"/>
              </w:rPr>
            </w:pPr>
          </w:p>
        </w:tc>
        <w:tc>
          <w:tcPr>
            <w:tcW w:w="2977" w:type="dxa"/>
            <w:tcBorders>
              <w:top w:val="nil"/>
              <w:left w:val="nil"/>
              <w:bottom w:val="nil"/>
              <w:right w:val="single" w:sz="4" w:space="0" w:color="auto"/>
            </w:tcBorders>
            <w:vAlign w:val="center"/>
          </w:tcPr>
          <w:p w:rsidR="002A0515" w:rsidRDefault="002A0515" w:rsidP="00A54BE4">
            <w:pPr>
              <w:pStyle w:val="TableText"/>
              <w:snapToGrid w:val="0"/>
              <w:ind w:leftChars="-479" w:left="-958"/>
              <w:rPr>
                <w:szCs w:val="17"/>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zCs w:val="17"/>
                <w:lang w:eastAsia="en-GB"/>
              </w:rPr>
            </w:pPr>
            <w:r>
              <w:rPr>
                <w:szCs w:val="17"/>
                <w:lang w:eastAsia="en-GB"/>
              </w:rPr>
              <w:t>(a)</w:t>
            </w:r>
          </w:p>
        </w:tc>
        <w:tc>
          <w:tcPr>
            <w:tcW w:w="709"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zCs w:val="17"/>
                <w:lang w:eastAsia="en-GB"/>
              </w:rPr>
            </w:pPr>
            <w:r>
              <w:rPr>
                <w:szCs w:val="17"/>
                <w:lang w:eastAsia="en-GB"/>
              </w:rPr>
              <w:t>(b)</w:t>
            </w:r>
          </w:p>
        </w:tc>
        <w:tc>
          <w:tcPr>
            <w:tcW w:w="851"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zCs w:val="17"/>
                <w:lang w:eastAsia="en-GB"/>
              </w:rPr>
            </w:pPr>
            <w:r>
              <w:rPr>
                <w:szCs w:val="17"/>
                <w:lang w:eastAsia="en-GB"/>
              </w:rPr>
              <w:t>(c)</w:t>
            </w:r>
          </w:p>
        </w:tc>
        <w:tc>
          <w:tcPr>
            <w:tcW w:w="1416"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zCs w:val="17"/>
                <w:lang w:eastAsia="en-GB"/>
              </w:rPr>
            </w:pPr>
            <w:r>
              <w:rPr>
                <w:szCs w:val="17"/>
                <w:lang w:eastAsia="en-GB"/>
              </w:rPr>
              <w:t>(d)</w:t>
            </w:r>
          </w:p>
        </w:tc>
        <w:tc>
          <w:tcPr>
            <w:tcW w:w="993"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zCs w:val="17"/>
                <w:lang w:eastAsia="en-GB"/>
              </w:rPr>
            </w:pPr>
            <w:r>
              <w:rPr>
                <w:szCs w:val="17"/>
                <w:lang w:eastAsia="en-GB"/>
              </w:rPr>
              <w:t>(e)</w:t>
            </w:r>
          </w:p>
        </w:tc>
        <w:tc>
          <w:tcPr>
            <w:tcW w:w="709"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zCs w:val="17"/>
                <w:lang w:eastAsia="en-GB"/>
              </w:rPr>
            </w:pPr>
            <w:r>
              <w:rPr>
                <w:szCs w:val="17"/>
                <w:lang w:eastAsia="en-GB"/>
              </w:rPr>
              <w:t>(f)</w:t>
            </w:r>
          </w:p>
        </w:tc>
      </w:tr>
      <w:tr w:rsidR="002A0515" w:rsidTr="00A54BE4">
        <w:trPr>
          <w:cantSplit/>
          <w:tblHeader/>
        </w:trPr>
        <w:tc>
          <w:tcPr>
            <w:tcW w:w="425" w:type="dxa"/>
            <w:tcBorders>
              <w:top w:val="nil"/>
              <w:left w:val="nil"/>
              <w:bottom w:val="single" w:sz="4" w:space="0" w:color="auto"/>
              <w:right w:val="nil"/>
            </w:tcBorders>
          </w:tcPr>
          <w:p w:rsidR="002A0515" w:rsidRDefault="002A0515" w:rsidP="00A54BE4">
            <w:pPr>
              <w:pStyle w:val="TableText"/>
              <w:snapToGrid w:val="0"/>
              <w:rPr>
                <w:szCs w:val="17"/>
                <w:lang w:eastAsia="en-GB"/>
              </w:rPr>
            </w:pPr>
          </w:p>
        </w:tc>
        <w:tc>
          <w:tcPr>
            <w:tcW w:w="2977" w:type="dxa"/>
            <w:tcBorders>
              <w:top w:val="nil"/>
              <w:left w:val="nil"/>
              <w:bottom w:val="single" w:sz="4" w:space="0" w:color="auto"/>
              <w:right w:val="single" w:sz="4" w:space="0" w:color="auto"/>
            </w:tcBorders>
            <w:vAlign w:val="center"/>
          </w:tcPr>
          <w:p w:rsidR="002A0515" w:rsidRDefault="002A0515" w:rsidP="00A54BE4">
            <w:pPr>
              <w:pStyle w:val="TableText"/>
              <w:snapToGrid w:val="0"/>
              <w:rPr>
                <w:szCs w:val="17"/>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pacing w:val="-12"/>
                <w:szCs w:val="17"/>
                <w:lang w:eastAsia="en-GB"/>
              </w:rPr>
            </w:pPr>
            <w:r>
              <w:rPr>
                <w:spacing w:val="-12"/>
                <w:szCs w:val="17"/>
                <w:lang w:eastAsia="en-GB"/>
              </w:rPr>
              <w:t>Replacement cost (RC)</w:t>
            </w:r>
          </w:p>
        </w:tc>
        <w:tc>
          <w:tcPr>
            <w:tcW w:w="709"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pacing w:val="-12"/>
                <w:szCs w:val="17"/>
                <w:lang w:eastAsia="en-GB"/>
              </w:rPr>
            </w:pPr>
            <w:r>
              <w:rPr>
                <w:spacing w:val="-12"/>
                <w:szCs w:val="17"/>
                <w:lang w:eastAsia="en-GB"/>
              </w:rPr>
              <w:t>PFE</w:t>
            </w:r>
          </w:p>
        </w:tc>
        <w:tc>
          <w:tcPr>
            <w:tcW w:w="851"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pacing w:val="-12"/>
                <w:szCs w:val="17"/>
                <w:lang w:eastAsia="en-GB"/>
              </w:rPr>
            </w:pPr>
            <w:r>
              <w:rPr>
                <w:spacing w:val="-12"/>
                <w:szCs w:val="17"/>
                <w:lang w:eastAsia="en-GB"/>
              </w:rPr>
              <w:t>Effective EPE</w:t>
            </w:r>
          </w:p>
        </w:tc>
        <w:tc>
          <w:tcPr>
            <w:tcW w:w="1416"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pacing w:val="-12"/>
                <w:szCs w:val="17"/>
                <w:lang w:eastAsia="en-GB"/>
              </w:rPr>
            </w:pPr>
            <w:r>
              <w:rPr>
                <w:spacing w:val="-12"/>
                <w:szCs w:val="17"/>
                <w:lang w:eastAsia="en-GB"/>
              </w:rPr>
              <w:t>Alpha (</w:t>
            </w:r>
            <w:r>
              <w:rPr>
                <w:rFonts w:hint="eastAsia"/>
                <w:spacing w:val="-12"/>
                <w:szCs w:val="17"/>
                <w:lang w:eastAsia="en-GB"/>
              </w:rPr>
              <w:t>α</w:t>
            </w:r>
            <w:r>
              <w:rPr>
                <w:spacing w:val="-12"/>
                <w:szCs w:val="17"/>
                <w:lang w:eastAsia="en-GB"/>
              </w:rPr>
              <w:t>) used for computing default risk exposure</w:t>
            </w:r>
          </w:p>
        </w:tc>
        <w:tc>
          <w:tcPr>
            <w:tcW w:w="993"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pacing w:val="-12"/>
                <w:szCs w:val="17"/>
                <w:lang w:eastAsia="en-GB"/>
              </w:rPr>
            </w:pPr>
            <w:r>
              <w:rPr>
                <w:spacing w:val="-12"/>
                <w:szCs w:val="17"/>
                <w:lang w:eastAsia="en-GB"/>
              </w:rPr>
              <w:t>Default risk exposure after CRM</w:t>
            </w:r>
          </w:p>
        </w:tc>
        <w:tc>
          <w:tcPr>
            <w:tcW w:w="709"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pacing w:val="-12"/>
                <w:szCs w:val="17"/>
                <w:lang w:eastAsia="en-GB"/>
              </w:rPr>
            </w:pPr>
            <w:r>
              <w:rPr>
                <w:spacing w:val="-12"/>
                <w:szCs w:val="17"/>
                <w:lang w:eastAsia="en-GB"/>
              </w:rPr>
              <w:t>RWA</w:t>
            </w:r>
          </w:p>
        </w:tc>
      </w:tr>
      <w:tr w:rsidR="002A0515" w:rsidTr="00A54BE4">
        <w:trPr>
          <w:cantSplit/>
        </w:trPr>
        <w:tc>
          <w:tcPr>
            <w:tcW w:w="425" w:type="dxa"/>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1</w:t>
            </w:r>
          </w:p>
        </w:tc>
        <w:tc>
          <w:tcPr>
            <w:tcW w:w="2977" w:type="dxa"/>
            <w:tcBorders>
              <w:left w:val="single" w:sz="4" w:space="0" w:color="auto"/>
              <w:right w:val="single" w:sz="4" w:space="0" w:color="auto"/>
            </w:tcBorders>
          </w:tcPr>
          <w:p w:rsidR="002A0515" w:rsidRDefault="002A0515" w:rsidP="00A54BE4">
            <w:pPr>
              <w:pStyle w:val="TableText"/>
              <w:snapToGrid w:val="0"/>
              <w:rPr>
                <w:szCs w:val="17"/>
                <w:lang w:eastAsia="en-GB"/>
              </w:rPr>
            </w:pPr>
            <w:r>
              <w:rPr>
                <w:szCs w:val="17"/>
                <w:lang w:eastAsia="en-GB"/>
              </w:rPr>
              <w:t>SA-CCR approach (for derivative contracts)</w:t>
            </w:r>
          </w:p>
        </w:tc>
        <w:tc>
          <w:tcPr>
            <w:tcW w:w="1134"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851"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1416" w:type="dxa"/>
            <w:tcBorders>
              <w:left w:val="single" w:sz="4" w:space="0" w:color="auto"/>
              <w:right w:val="single" w:sz="4" w:space="0" w:color="auto"/>
            </w:tcBorders>
          </w:tcPr>
          <w:p w:rsidR="002A0515" w:rsidRDefault="002A0515" w:rsidP="00A54BE4">
            <w:pPr>
              <w:pStyle w:val="TableText"/>
              <w:snapToGrid w:val="0"/>
              <w:rPr>
                <w:szCs w:val="17"/>
                <w:lang w:eastAsia="en-GB"/>
              </w:rPr>
            </w:pPr>
            <w:r>
              <w:rPr>
                <w:szCs w:val="17"/>
                <w:lang w:eastAsia="en-GB"/>
              </w:rPr>
              <w:t>1.4</w:t>
            </w:r>
          </w:p>
        </w:tc>
        <w:tc>
          <w:tcPr>
            <w:tcW w:w="993"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425" w:type="dxa"/>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1a</w:t>
            </w:r>
          </w:p>
        </w:tc>
        <w:tc>
          <w:tcPr>
            <w:tcW w:w="2977" w:type="dxa"/>
            <w:tcBorders>
              <w:left w:val="single" w:sz="4" w:space="0" w:color="auto"/>
              <w:right w:val="single" w:sz="4" w:space="0" w:color="auto"/>
            </w:tcBorders>
          </w:tcPr>
          <w:p w:rsidR="002A0515" w:rsidRDefault="002A0515" w:rsidP="00A54BE4">
            <w:pPr>
              <w:pStyle w:val="TableText"/>
              <w:snapToGrid w:val="0"/>
              <w:rPr>
                <w:szCs w:val="17"/>
                <w:lang w:eastAsia="en-GB"/>
              </w:rPr>
            </w:pPr>
            <w:r>
              <w:rPr>
                <w:szCs w:val="17"/>
                <w:lang w:eastAsia="en-GB"/>
              </w:rPr>
              <w:t>CEM (for derivative contracts)</w:t>
            </w:r>
          </w:p>
        </w:tc>
        <w:tc>
          <w:tcPr>
            <w:tcW w:w="1134" w:type="dxa"/>
            <w:tcBorders>
              <w:left w:val="single" w:sz="4" w:space="0" w:color="auto"/>
              <w:right w:val="single" w:sz="4" w:space="0" w:color="auto"/>
            </w:tcBorders>
            <w:shd w:val="clear" w:color="auto" w:fill="FFFFFF"/>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shd w:val="clear" w:color="auto" w:fill="FFFFFF"/>
          </w:tcPr>
          <w:p w:rsidR="002A0515" w:rsidRDefault="002A0515" w:rsidP="00A54BE4">
            <w:pPr>
              <w:pStyle w:val="TableText"/>
              <w:snapToGrid w:val="0"/>
              <w:rPr>
                <w:szCs w:val="17"/>
                <w:lang w:eastAsia="en-GB"/>
              </w:rPr>
            </w:pPr>
          </w:p>
        </w:tc>
        <w:tc>
          <w:tcPr>
            <w:tcW w:w="851"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1416" w:type="dxa"/>
            <w:tcBorders>
              <w:left w:val="single" w:sz="4" w:space="0" w:color="auto"/>
              <w:right w:val="single" w:sz="4" w:space="0" w:color="auto"/>
            </w:tcBorders>
          </w:tcPr>
          <w:p w:rsidR="002A0515" w:rsidRDefault="002A0515" w:rsidP="00A54BE4">
            <w:pPr>
              <w:pStyle w:val="TableText"/>
              <w:snapToGrid w:val="0"/>
              <w:rPr>
                <w:szCs w:val="17"/>
                <w:lang w:eastAsia="en-GB"/>
              </w:rPr>
            </w:pPr>
            <w:r>
              <w:rPr>
                <w:szCs w:val="17"/>
                <w:lang w:eastAsia="en-GB"/>
              </w:rPr>
              <w:t>1.4</w:t>
            </w:r>
          </w:p>
        </w:tc>
        <w:tc>
          <w:tcPr>
            <w:tcW w:w="993"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425" w:type="dxa"/>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2</w:t>
            </w:r>
          </w:p>
        </w:tc>
        <w:tc>
          <w:tcPr>
            <w:tcW w:w="2977" w:type="dxa"/>
            <w:tcBorders>
              <w:left w:val="single" w:sz="4" w:space="0" w:color="auto"/>
              <w:right w:val="single" w:sz="4" w:space="0" w:color="auto"/>
            </w:tcBorders>
          </w:tcPr>
          <w:p w:rsidR="002A0515" w:rsidRDefault="002A0515" w:rsidP="00A54BE4">
            <w:pPr>
              <w:pStyle w:val="TableText"/>
              <w:snapToGrid w:val="0"/>
              <w:rPr>
                <w:szCs w:val="17"/>
                <w:lang w:eastAsia="en-GB"/>
              </w:rPr>
            </w:pPr>
            <w:r>
              <w:rPr>
                <w:szCs w:val="17"/>
                <w:lang w:eastAsia="en-GB"/>
              </w:rPr>
              <w:t xml:space="preserve">IMM (CCR) approach </w:t>
            </w:r>
          </w:p>
        </w:tc>
        <w:tc>
          <w:tcPr>
            <w:tcW w:w="1134"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851"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416"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993"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425" w:type="dxa"/>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3</w:t>
            </w:r>
          </w:p>
        </w:tc>
        <w:tc>
          <w:tcPr>
            <w:tcW w:w="2977" w:type="dxa"/>
            <w:tcBorders>
              <w:left w:val="single" w:sz="4" w:space="0" w:color="auto"/>
              <w:right w:val="single" w:sz="4" w:space="0" w:color="auto"/>
            </w:tcBorders>
          </w:tcPr>
          <w:p w:rsidR="002A0515" w:rsidRDefault="002A0515" w:rsidP="00A54BE4">
            <w:pPr>
              <w:pStyle w:val="TableText"/>
              <w:snapToGrid w:val="0"/>
              <w:rPr>
                <w:szCs w:val="17"/>
                <w:lang w:eastAsia="en-GB"/>
              </w:rPr>
            </w:pPr>
            <w:r>
              <w:rPr>
                <w:szCs w:val="17"/>
                <w:lang w:eastAsia="en-GB"/>
              </w:rPr>
              <w:t>Simple approach (for SFTs)</w:t>
            </w:r>
          </w:p>
        </w:tc>
        <w:tc>
          <w:tcPr>
            <w:tcW w:w="1134"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851"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1416"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993"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425" w:type="dxa"/>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4</w:t>
            </w:r>
          </w:p>
        </w:tc>
        <w:tc>
          <w:tcPr>
            <w:tcW w:w="2977" w:type="dxa"/>
            <w:tcBorders>
              <w:left w:val="single" w:sz="4" w:space="0" w:color="auto"/>
              <w:right w:val="single" w:sz="4" w:space="0" w:color="auto"/>
            </w:tcBorders>
          </w:tcPr>
          <w:p w:rsidR="002A0515" w:rsidRDefault="002A0515" w:rsidP="00A54BE4">
            <w:pPr>
              <w:pStyle w:val="TableText"/>
              <w:snapToGrid w:val="0"/>
              <w:rPr>
                <w:szCs w:val="17"/>
                <w:lang w:eastAsia="en-GB"/>
              </w:rPr>
            </w:pPr>
            <w:r>
              <w:rPr>
                <w:szCs w:val="17"/>
                <w:lang w:eastAsia="en-GB"/>
              </w:rPr>
              <w:t>Comprehensive approach (for SFTs)</w:t>
            </w:r>
          </w:p>
        </w:tc>
        <w:tc>
          <w:tcPr>
            <w:tcW w:w="1134"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851"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1416"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993"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425" w:type="dxa"/>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5</w:t>
            </w:r>
          </w:p>
        </w:tc>
        <w:tc>
          <w:tcPr>
            <w:tcW w:w="2977" w:type="dxa"/>
            <w:tcBorders>
              <w:left w:val="single" w:sz="4" w:space="0" w:color="auto"/>
              <w:right w:val="single" w:sz="4" w:space="0" w:color="auto"/>
            </w:tcBorders>
          </w:tcPr>
          <w:p w:rsidR="002A0515" w:rsidRDefault="002A0515" w:rsidP="00A54BE4">
            <w:pPr>
              <w:pStyle w:val="TableText"/>
              <w:snapToGrid w:val="0"/>
              <w:rPr>
                <w:szCs w:val="17"/>
                <w:lang w:eastAsia="en-GB"/>
              </w:rPr>
            </w:pPr>
            <w:proofErr w:type="spellStart"/>
            <w:r>
              <w:rPr>
                <w:szCs w:val="17"/>
                <w:lang w:eastAsia="en-GB"/>
              </w:rPr>
              <w:t>VaR</w:t>
            </w:r>
            <w:proofErr w:type="spellEnd"/>
            <w:r>
              <w:rPr>
                <w:szCs w:val="17"/>
                <w:lang w:eastAsia="en-GB"/>
              </w:rPr>
              <w:t xml:space="preserve"> (for SFTs)</w:t>
            </w:r>
          </w:p>
        </w:tc>
        <w:tc>
          <w:tcPr>
            <w:tcW w:w="1134"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851"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1416" w:type="dxa"/>
            <w:tcBorders>
              <w:left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993"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709" w:type="dxa"/>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Height w:val="205"/>
        </w:trPr>
        <w:tc>
          <w:tcPr>
            <w:tcW w:w="425" w:type="dxa"/>
            <w:tcBorders>
              <w:left w:val="nil"/>
              <w:bottom w:val="single" w:sz="4" w:space="0" w:color="auto"/>
              <w:right w:val="single" w:sz="4" w:space="0" w:color="auto"/>
            </w:tcBorders>
          </w:tcPr>
          <w:p w:rsidR="002A0515" w:rsidRDefault="002A0515" w:rsidP="00A54BE4">
            <w:pPr>
              <w:pStyle w:val="TableText"/>
              <w:snapToGrid w:val="0"/>
              <w:rPr>
                <w:szCs w:val="17"/>
                <w:lang w:eastAsia="en-GB"/>
              </w:rPr>
            </w:pPr>
            <w:r>
              <w:rPr>
                <w:szCs w:val="17"/>
                <w:lang w:eastAsia="en-GB"/>
              </w:rPr>
              <w:t>6</w:t>
            </w:r>
          </w:p>
        </w:tc>
        <w:tc>
          <w:tcPr>
            <w:tcW w:w="2977" w:type="dxa"/>
            <w:tcBorders>
              <w:left w:val="single" w:sz="4" w:space="0" w:color="auto"/>
              <w:bottom w:val="single" w:sz="4" w:space="0" w:color="auto"/>
              <w:right w:val="single" w:sz="4" w:space="0" w:color="auto"/>
            </w:tcBorders>
          </w:tcPr>
          <w:p w:rsidR="002A0515" w:rsidRDefault="002A0515" w:rsidP="00A54BE4">
            <w:pPr>
              <w:pStyle w:val="TableText"/>
              <w:snapToGrid w:val="0"/>
              <w:rPr>
                <w:b/>
                <w:szCs w:val="17"/>
                <w:lang w:eastAsia="en-GB"/>
              </w:rPr>
            </w:pPr>
            <w:r>
              <w:rPr>
                <w:b/>
                <w:szCs w:val="17"/>
                <w:lang w:eastAsia="en-GB"/>
              </w:rPr>
              <w:t>Total</w:t>
            </w:r>
          </w:p>
        </w:tc>
        <w:tc>
          <w:tcPr>
            <w:tcW w:w="1134" w:type="dxa"/>
            <w:tcBorders>
              <w:left w:val="single" w:sz="4" w:space="0" w:color="auto"/>
              <w:bottom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709" w:type="dxa"/>
            <w:tcBorders>
              <w:left w:val="single" w:sz="4" w:space="0" w:color="auto"/>
              <w:bottom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851" w:type="dxa"/>
            <w:tcBorders>
              <w:left w:val="single" w:sz="4" w:space="0" w:color="auto"/>
              <w:bottom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1416" w:type="dxa"/>
            <w:tcBorders>
              <w:left w:val="single" w:sz="4" w:space="0" w:color="auto"/>
              <w:bottom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993" w:type="dxa"/>
            <w:tcBorders>
              <w:left w:val="single" w:sz="4" w:space="0" w:color="auto"/>
              <w:bottom w:val="single" w:sz="4" w:space="0" w:color="auto"/>
              <w:right w:val="single" w:sz="4" w:space="0" w:color="auto"/>
            </w:tcBorders>
            <w:shd w:val="clear" w:color="auto" w:fill="BFBFBF"/>
          </w:tcPr>
          <w:p w:rsidR="002A0515" w:rsidRDefault="002A0515" w:rsidP="00A54BE4">
            <w:pPr>
              <w:pStyle w:val="TableText"/>
              <w:snapToGrid w:val="0"/>
              <w:rPr>
                <w:szCs w:val="17"/>
                <w:lang w:eastAsia="en-GB"/>
              </w:rPr>
            </w:pPr>
          </w:p>
        </w:tc>
        <w:tc>
          <w:tcPr>
            <w:tcW w:w="709" w:type="dxa"/>
            <w:tcBorders>
              <w:left w:val="single" w:sz="4" w:space="0" w:color="auto"/>
              <w:bottom w:val="single" w:sz="4" w:space="0" w:color="auto"/>
              <w:right w:val="single" w:sz="4" w:space="0" w:color="auto"/>
            </w:tcBorders>
          </w:tcPr>
          <w:p w:rsidR="002A0515" w:rsidRDefault="002A0515" w:rsidP="00A54BE4">
            <w:pPr>
              <w:pStyle w:val="TableText"/>
              <w:snapToGrid w:val="0"/>
              <w:rPr>
                <w:szCs w:val="17"/>
                <w:lang w:eastAsia="en-GB"/>
              </w:rPr>
            </w:pPr>
          </w:p>
        </w:tc>
      </w:tr>
    </w:tbl>
    <w:p w:rsidR="002A0515" w:rsidRDefault="002A0515" w:rsidP="002A0515">
      <w:pPr>
        <w:spacing w:before="120" w:after="120"/>
        <w:ind w:leftChars="-283" w:left="-566"/>
        <w:rPr>
          <w:sz w:val="22"/>
        </w:rPr>
      </w:pPr>
    </w:p>
    <w:p w:rsidR="002A0515" w:rsidRDefault="002A0515" w:rsidP="002A0515">
      <w:pPr>
        <w:spacing w:before="120" w:after="120"/>
        <w:ind w:leftChars="-283" w:left="-566"/>
        <w:rPr>
          <w:sz w:val="22"/>
        </w:rPr>
      </w:pPr>
    </w:p>
    <w:p w:rsidR="002A0515" w:rsidRDefault="002A0515" w:rsidP="002A0515">
      <w:pPr>
        <w:spacing w:before="120" w:after="120"/>
        <w:ind w:leftChars="-283" w:left="-566"/>
        <w:rPr>
          <w:sz w:val="22"/>
        </w:rPr>
      </w:pPr>
    </w:p>
    <w:p w:rsidR="002A0515" w:rsidRDefault="002A0515" w:rsidP="002A0515">
      <w:pPr>
        <w:spacing w:before="120" w:after="120"/>
        <w:ind w:leftChars="-283" w:left="-566"/>
        <w:rPr>
          <w:sz w:val="22"/>
        </w:rPr>
      </w:pPr>
    </w:p>
    <w:p w:rsidR="002A0515" w:rsidRDefault="002A0515" w:rsidP="002A0515">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789"/>
      </w:tblGrid>
      <w:tr w:rsidR="002A0515" w:rsidTr="00A54BE4">
        <w:trPr>
          <w:tblHeader/>
        </w:trPr>
        <w:tc>
          <w:tcPr>
            <w:tcW w:w="9214" w:type="dxa"/>
            <w:gridSpan w:val="2"/>
            <w:shd w:val="clear" w:color="auto" w:fill="BFBFBF"/>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Explanatory Note</w:t>
            </w:r>
          </w:p>
        </w:tc>
      </w:tr>
      <w:tr w:rsidR="002A0515" w:rsidTr="00A54BE4">
        <w:trPr>
          <w:trHeight w:val="153"/>
        </w:trPr>
        <w:tc>
          <w:tcPr>
            <w:tcW w:w="9214" w:type="dxa"/>
            <w:gridSpan w:val="2"/>
            <w:shd w:val="clear" w:color="auto" w:fill="F2F2F2"/>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Columns</w:t>
            </w:r>
          </w:p>
        </w:tc>
      </w:tr>
      <w:tr w:rsidR="002A0515" w:rsidTr="00A54BE4">
        <w:tc>
          <w:tcPr>
            <w:tcW w:w="425" w:type="dxa"/>
          </w:tcPr>
          <w:p w:rsidR="002A0515" w:rsidRDefault="002A0515" w:rsidP="00A54BE4">
            <w:pPr>
              <w:pStyle w:val="ListParagraph"/>
              <w:keepLines/>
              <w:spacing w:before="20" w:after="20"/>
              <w:ind w:leftChars="0" w:left="0" w:rightChars="-54" w:right="-108"/>
              <w:rPr>
                <w:rFonts w:cs="Segoe UI"/>
                <w:sz w:val="17"/>
                <w:szCs w:val="17"/>
                <w:lang w:eastAsia="en-GB"/>
              </w:rPr>
            </w:pPr>
            <w:r>
              <w:rPr>
                <w:rFonts w:cs="Segoe UI"/>
                <w:sz w:val="17"/>
                <w:szCs w:val="17"/>
                <w:lang w:eastAsia="en-GB"/>
              </w:rPr>
              <w:t>(a)</w:t>
            </w:r>
          </w:p>
        </w:tc>
        <w:tc>
          <w:tcPr>
            <w:tcW w:w="8789" w:type="dxa"/>
          </w:tcPr>
          <w:p w:rsidR="002A0515" w:rsidRDefault="002A0515" w:rsidP="002A0515">
            <w:pPr>
              <w:pStyle w:val="TableNote"/>
              <w:keepNext/>
              <w:numPr>
                <w:ilvl w:val="0"/>
                <w:numId w:val="21"/>
              </w:numPr>
              <w:spacing w:before="40" w:after="40"/>
              <w:ind w:left="317" w:hanging="317"/>
              <w:rPr>
                <w:rFonts w:cs="Segoe UI"/>
                <w:sz w:val="17"/>
                <w:szCs w:val="17"/>
                <w:lang w:eastAsia="en-GB"/>
              </w:rPr>
            </w:pPr>
            <w:r>
              <w:rPr>
                <w:i/>
                <w:sz w:val="17"/>
                <w:szCs w:val="17"/>
              </w:rPr>
              <w:t>Replacement Cost (RC)</w:t>
            </w:r>
            <w:r>
              <w:rPr>
                <w:sz w:val="17"/>
                <w:szCs w:val="17"/>
              </w:rPr>
              <w:t>: for the SA-CCR</w:t>
            </w:r>
            <w:r w:rsidRPr="00AC6DA4">
              <w:rPr>
                <w:sz w:val="17"/>
              </w:rPr>
              <w:t xml:space="preserve"> approach</w:t>
            </w:r>
            <w:r>
              <w:rPr>
                <w:sz w:val="17"/>
                <w:szCs w:val="17"/>
              </w:rPr>
              <w:t xml:space="preserve">, means the RC calculated under the SA-CCR approach in accordance with Division 1A, Part 6A of the BCR.  For the CEM, means the RC calculated under the CEM in accordance with Division 2A, Part 6A of the BCR. </w:t>
            </w:r>
          </w:p>
        </w:tc>
      </w:tr>
      <w:tr w:rsidR="002A0515" w:rsidTr="00A54BE4">
        <w:trPr>
          <w:trHeight w:val="373"/>
        </w:trPr>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lang w:eastAsia="en-GB"/>
              </w:rPr>
            </w:pPr>
            <w:r>
              <w:rPr>
                <w:rFonts w:cs="Segoe UI"/>
                <w:sz w:val="17"/>
                <w:szCs w:val="17"/>
                <w:lang w:eastAsia="en-GB"/>
              </w:rPr>
              <w:t>(b)</w:t>
            </w:r>
          </w:p>
        </w:tc>
        <w:tc>
          <w:tcPr>
            <w:tcW w:w="8789" w:type="dxa"/>
          </w:tcPr>
          <w:p w:rsidR="002A0515" w:rsidRDefault="002A0515" w:rsidP="002A0515">
            <w:pPr>
              <w:pStyle w:val="TableNote"/>
              <w:keepNext/>
              <w:numPr>
                <w:ilvl w:val="0"/>
                <w:numId w:val="22"/>
              </w:numPr>
              <w:spacing w:before="40" w:after="40"/>
              <w:ind w:left="317" w:hanging="317"/>
              <w:rPr>
                <w:sz w:val="17"/>
                <w:szCs w:val="17"/>
              </w:rPr>
            </w:pPr>
            <w:r>
              <w:rPr>
                <w:i/>
                <w:sz w:val="17"/>
                <w:szCs w:val="17"/>
              </w:rPr>
              <w:t>PFE</w:t>
            </w:r>
            <w:r>
              <w:rPr>
                <w:sz w:val="17"/>
                <w:szCs w:val="17"/>
              </w:rPr>
              <w:t>: For SA-CCR approach, means the PFE calculated under the SA-CCR approach in accordance with Division 1A, Part 6A of the BCR.  For CEM, means the PFE calculated under the CEM in accordance with Division 2A, Part 6A of the BCR.</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lang w:eastAsia="en-GB"/>
              </w:rPr>
            </w:pPr>
            <w:r>
              <w:rPr>
                <w:rFonts w:cs="Segoe UI"/>
                <w:sz w:val="17"/>
                <w:szCs w:val="17"/>
                <w:lang w:eastAsia="en-GB"/>
              </w:rPr>
              <w:t>(c)</w:t>
            </w:r>
          </w:p>
        </w:tc>
        <w:tc>
          <w:tcPr>
            <w:tcW w:w="8789" w:type="dxa"/>
          </w:tcPr>
          <w:p w:rsidR="002A0515" w:rsidRDefault="002A0515" w:rsidP="00A54BE4">
            <w:pPr>
              <w:pStyle w:val="TableNote"/>
              <w:keepNext/>
              <w:spacing w:before="40" w:after="40"/>
              <w:rPr>
                <w:rFonts w:cs="Segoe UI"/>
                <w:sz w:val="17"/>
                <w:szCs w:val="17"/>
                <w:lang w:eastAsia="en-GB"/>
              </w:rPr>
            </w:pPr>
            <w:r>
              <w:rPr>
                <w:i/>
                <w:sz w:val="17"/>
                <w:szCs w:val="17"/>
              </w:rPr>
              <w:t>Effective EPE</w:t>
            </w:r>
            <w:r>
              <w:rPr>
                <w:sz w:val="17"/>
                <w:szCs w:val="17"/>
              </w:rPr>
              <w:t xml:space="preserve">: this has the meaning given to it by the BCR. </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lang w:eastAsia="en-GB"/>
              </w:rPr>
            </w:pPr>
            <w:r>
              <w:rPr>
                <w:rFonts w:cs="Segoe UI"/>
                <w:sz w:val="17"/>
                <w:szCs w:val="17"/>
                <w:lang w:eastAsia="en-GB"/>
              </w:rPr>
              <w:t>(d)</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rPr>
            </w:pPr>
            <w:r>
              <w:rPr>
                <w:i/>
                <w:sz w:val="17"/>
                <w:szCs w:val="17"/>
              </w:rPr>
              <w:t>Alpha (</w:t>
            </w:r>
            <w:r>
              <w:rPr>
                <w:rFonts w:hint="eastAsia"/>
                <w:i/>
                <w:sz w:val="17"/>
                <w:szCs w:val="17"/>
              </w:rPr>
              <w:t>α</w:t>
            </w:r>
            <w:r>
              <w:rPr>
                <w:i/>
                <w:sz w:val="17"/>
                <w:szCs w:val="17"/>
              </w:rPr>
              <w:t>) used for computing default risk exposure</w:t>
            </w:r>
            <w:r>
              <w:rPr>
                <w:sz w:val="17"/>
                <w:szCs w:val="17"/>
              </w:rPr>
              <w:t>:</w:t>
            </w:r>
            <w:r>
              <w:rPr>
                <w:i/>
                <w:sz w:val="17"/>
                <w:szCs w:val="17"/>
              </w:rPr>
              <w:t xml:space="preserve"> </w:t>
            </w:r>
            <w:r>
              <w:rPr>
                <w:sz w:val="17"/>
                <w:szCs w:val="17"/>
              </w:rPr>
              <w:t>under the CEM, SA-CCR approach or IMM(CCR) approach, as the case may be, means the alpha applicable to the AI as specified in the BCR.</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lang w:eastAsia="en-GB"/>
              </w:rPr>
            </w:pPr>
            <w:r>
              <w:rPr>
                <w:rFonts w:cs="Segoe UI"/>
                <w:sz w:val="17"/>
                <w:szCs w:val="17"/>
                <w:lang w:eastAsia="en-GB"/>
              </w:rPr>
              <w:t>(e)</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rPr>
            </w:pPr>
            <w:r>
              <w:rPr>
                <w:i/>
                <w:sz w:val="17"/>
                <w:szCs w:val="17"/>
              </w:rPr>
              <w:t>Default risk exposure after CRM</w:t>
            </w:r>
            <w:r>
              <w:rPr>
                <w:sz w:val="17"/>
                <w:szCs w:val="17"/>
              </w:rPr>
              <w:t>: In the case of the SA-CCR approach, the CEM, the IMM(CCR) approach, SFTs subject to section 226MJ of the BCR for which the CRM effect is taken into account by using the simple approach and SFTs subject to section 226MK or 226ML of the BCR, means the default risk exposure or outstanding default risk exposure, as the case may be, as defined under the BCR.  In the case of SFTs subject to section 226MJ of the BCR for which the CRM effect is taken into account by using the comprehensive approach under Part 4 of the BCR, the amount disclosed in row 4 should be the amount calculated after taking into account any recognized collateral received under the SFTs.</w:t>
            </w:r>
          </w:p>
          <w:p w:rsidR="002A0515" w:rsidRDefault="002A0515" w:rsidP="00A54BE4">
            <w:pPr>
              <w:keepLines/>
              <w:widowControl w:val="0"/>
              <w:tabs>
                <w:tab w:val="left" w:pos="150"/>
                <w:tab w:val="left" w:pos="397"/>
                <w:tab w:val="left" w:pos="794"/>
                <w:tab w:val="left" w:pos="1191"/>
              </w:tabs>
              <w:spacing w:before="20" w:after="20"/>
              <w:jc w:val="both"/>
              <w:rPr>
                <w:sz w:val="17"/>
                <w:szCs w:val="17"/>
              </w:rPr>
            </w:pPr>
          </w:p>
          <w:p w:rsidR="002A0515" w:rsidRDefault="002A0515" w:rsidP="00A54BE4">
            <w:pPr>
              <w:keepLines/>
              <w:widowControl w:val="0"/>
              <w:tabs>
                <w:tab w:val="left" w:pos="150"/>
                <w:tab w:val="left" w:pos="397"/>
                <w:tab w:val="left" w:pos="794"/>
                <w:tab w:val="left" w:pos="1191"/>
              </w:tabs>
              <w:spacing w:before="20" w:after="20"/>
              <w:jc w:val="both"/>
              <w:rPr>
                <w:sz w:val="17"/>
                <w:szCs w:val="17"/>
              </w:rPr>
            </w:pPr>
            <w:r>
              <w:rPr>
                <w:sz w:val="17"/>
                <w:szCs w:val="17"/>
              </w:rPr>
              <w:t xml:space="preserve">In the case of recognized guarantees and recognized credit derivative contracts where the CRM effect is taken into account in accordance with Parts 4 and 5 of the BCR, the default risk exposure (or outstanding default risk exposure) after taking into account the guarantee or credit derivative contract is equal to the default risk exposure (or outstanding default risk exposure) as defined under the BCR.  </w:t>
            </w:r>
          </w:p>
          <w:p w:rsidR="002A0515" w:rsidRDefault="002A0515" w:rsidP="00A54BE4">
            <w:pPr>
              <w:keepLines/>
              <w:widowControl w:val="0"/>
              <w:tabs>
                <w:tab w:val="left" w:pos="150"/>
                <w:tab w:val="left" w:pos="397"/>
                <w:tab w:val="left" w:pos="794"/>
                <w:tab w:val="left" w:pos="1191"/>
              </w:tabs>
              <w:spacing w:before="20" w:after="20"/>
              <w:jc w:val="both"/>
              <w:rPr>
                <w:sz w:val="17"/>
                <w:szCs w:val="17"/>
              </w:rPr>
            </w:pPr>
          </w:p>
          <w:p w:rsidR="002A0515" w:rsidRDefault="002A0515" w:rsidP="00A54BE4">
            <w:pPr>
              <w:keepLines/>
              <w:widowControl w:val="0"/>
              <w:tabs>
                <w:tab w:val="left" w:pos="150"/>
                <w:tab w:val="left" w:pos="397"/>
                <w:tab w:val="left" w:pos="794"/>
                <w:tab w:val="left" w:pos="1191"/>
              </w:tabs>
              <w:spacing w:before="20" w:after="20"/>
              <w:jc w:val="both"/>
              <w:rPr>
                <w:sz w:val="17"/>
                <w:szCs w:val="17"/>
              </w:rPr>
            </w:pPr>
            <w:r>
              <w:rPr>
                <w:sz w:val="17"/>
                <w:szCs w:val="17"/>
              </w:rPr>
              <w:t>In the case of recognized collateral for SFTs subject to section 226MJ of the BCR, recognized guarantees and recognized credit derivative contracts where the CRM effect is considered in the risk-weight function under Part 6 of the BCR, the post-CRM default risk exposure reported in column (e) is equal to the pre-CRM default risk exposure given that the related CRM effect is not reflected in the EAD of eligible IRB exposures.</w:t>
            </w:r>
          </w:p>
          <w:p w:rsidR="002A0515" w:rsidRDefault="002A0515" w:rsidP="00A54BE4">
            <w:pPr>
              <w:keepLines/>
              <w:widowControl w:val="0"/>
              <w:tabs>
                <w:tab w:val="left" w:pos="150"/>
                <w:tab w:val="left" w:pos="397"/>
                <w:tab w:val="left" w:pos="794"/>
                <w:tab w:val="left" w:pos="1191"/>
              </w:tabs>
              <w:spacing w:before="20" w:after="20"/>
              <w:jc w:val="both"/>
              <w:rPr>
                <w:sz w:val="17"/>
                <w:szCs w:val="17"/>
              </w:rPr>
            </w:pPr>
          </w:p>
          <w:p w:rsidR="002A0515" w:rsidRDefault="002A0515" w:rsidP="00A54BE4">
            <w:pPr>
              <w:keepLines/>
              <w:widowControl w:val="0"/>
              <w:tabs>
                <w:tab w:val="left" w:pos="150"/>
                <w:tab w:val="left" w:pos="397"/>
                <w:tab w:val="left" w:pos="794"/>
                <w:tab w:val="left" w:pos="1191"/>
              </w:tabs>
              <w:spacing w:before="20" w:after="20"/>
              <w:jc w:val="both"/>
              <w:rPr>
                <w:rFonts w:ascii="Times New Roman" w:hAnsi="Times New Roman"/>
                <w:sz w:val="17"/>
                <w:szCs w:val="17"/>
              </w:rPr>
            </w:pPr>
            <w:r>
              <w:rPr>
                <w:sz w:val="17"/>
                <w:szCs w:val="17"/>
              </w:rPr>
              <w:t>For the purposes of this disclosure template</w:t>
            </w:r>
            <w:r>
              <w:rPr>
                <w:rFonts w:ascii="Times New Roman" w:hAnsi="Times New Roman"/>
                <w:sz w:val="17"/>
                <w:szCs w:val="17"/>
              </w:rPr>
              <w:t>—</w:t>
            </w:r>
          </w:p>
          <w:p w:rsidR="002A0515" w:rsidRPr="00F22F2D" w:rsidRDefault="002A0515" w:rsidP="002A0515">
            <w:pPr>
              <w:pStyle w:val="ListParagraph"/>
              <w:keepLines/>
              <w:widowControl w:val="0"/>
              <w:numPr>
                <w:ilvl w:val="0"/>
                <w:numId w:val="24"/>
              </w:numPr>
              <w:spacing w:before="20" w:after="20"/>
              <w:ind w:leftChars="0" w:left="317" w:hanging="317"/>
              <w:jc w:val="both"/>
              <w:rPr>
                <w:rFonts w:cs="Segoe UI"/>
                <w:sz w:val="17"/>
                <w:szCs w:val="17"/>
                <w:lang w:eastAsia="en-GB"/>
              </w:rPr>
            </w:pPr>
            <w:r w:rsidRPr="00F22F2D">
              <w:rPr>
                <w:rFonts w:cs="Segoe UI"/>
                <w:sz w:val="17"/>
                <w:szCs w:val="17"/>
                <w:lang w:eastAsia="en-GB"/>
              </w:rPr>
              <w:t xml:space="preserve">CRM does not include recognized collateral received by an AI outside a netting set where the collateral is not designated solely for offsetting losses on default risk exposures.  </w:t>
            </w:r>
          </w:p>
          <w:p w:rsidR="002A0515" w:rsidRPr="00F22F2D" w:rsidRDefault="002A0515" w:rsidP="002A0515">
            <w:pPr>
              <w:pStyle w:val="ListParagraph"/>
              <w:keepLines/>
              <w:widowControl w:val="0"/>
              <w:numPr>
                <w:ilvl w:val="0"/>
                <w:numId w:val="24"/>
              </w:numPr>
              <w:spacing w:before="20" w:after="20"/>
              <w:ind w:leftChars="0" w:left="317" w:hanging="317"/>
              <w:jc w:val="both"/>
              <w:rPr>
                <w:rFonts w:cs="Segoe UI"/>
                <w:sz w:val="17"/>
                <w:szCs w:val="17"/>
                <w:lang w:eastAsia="en-GB"/>
              </w:rPr>
            </w:pPr>
            <w:r w:rsidRPr="00F22F2D">
              <w:rPr>
                <w:rFonts w:cs="Segoe UI"/>
                <w:sz w:val="17"/>
                <w:szCs w:val="17"/>
                <w:lang w:eastAsia="en-GB"/>
              </w:rPr>
              <w:t xml:space="preserve">Simple approach — </w:t>
            </w:r>
          </w:p>
          <w:p w:rsidR="002A0515" w:rsidRPr="00F22F2D" w:rsidRDefault="002A0515" w:rsidP="002A0515">
            <w:pPr>
              <w:pStyle w:val="ListParagraph"/>
              <w:keepLines/>
              <w:widowControl w:val="0"/>
              <w:numPr>
                <w:ilvl w:val="0"/>
                <w:numId w:val="92"/>
              </w:numPr>
              <w:tabs>
                <w:tab w:val="left" w:pos="150"/>
                <w:tab w:val="left" w:pos="397"/>
                <w:tab w:val="left" w:pos="794"/>
                <w:tab w:val="left" w:pos="1191"/>
              </w:tabs>
              <w:spacing w:before="20" w:after="20"/>
              <w:ind w:leftChars="0"/>
              <w:jc w:val="both"/>
              <w:rPr>
                <w:rFonts w:cs="Segoe UI"/>
                <w:sz w:val="17"/>
                <w:szCs w:val="17"/>
              </w:rPr>
            </w:pPr>
            <w:r w:rsidRPr="00F22F2D">
              <w:rPr>
                <w:rFonts w:cs="Segoe UI"/>
                <w:sz w:val="17"/>
                <w:szCs w:val="17"/>
              </w:rPr>
              <w:t>in relation to the STC approach, means the simple approach set out in Division 6 of Part 4 of the BCR; and</w:t>
            </w:r>
          </w:p>
          <w:p w:rsidR="002A0515" w:rsidRPr="00BC5897" w:rsidRDefault="002A0515" w:rsidP="00AC6DA4">
            <w:pPr>
              <w:pStyle w:val="ListParagraph"/>
              <w:keepLines/>
              <w:widowControl w:val="0"/>
              <w:numPr>
                <w:ilvl w:val="0"/>
                <w:numId w:val="92"/>
              </w:numPr>
              <w:tabs>
                <w:tab w:val="left" w:pos="150"/>
                <w:tab w:val="left" w:pos="397"/>
                <w:tab w:val="left" w:pos="794"/>
                <w:tab w:val="left" w:pos="1191"/>
              </w:tabs>
              <w:spacing w:before="20" w:after="20"/>
              <w:ind w:leftChars="0"/>
              <w:jc w:val="both"/>
              <w:rPr>
                <w:sz w:val="17"/>
                <w:szCs w:val="17"/>
              </w:rPr>
            </w:pPr>
            <w:r w:rsidRPr="00F22F2D">
              <w:rPr>
                <w:rFonts w:cs="Segoe UI"/>
                <w:sz w:val="17"/>
                <w:szCs w:val="17"/>
              </w:rPr>
              <w:t>in relation to the BSC approach, means the method of reducing the risk-weighted amount of an exposure set out in Division 5 of Part 5 of the BCR.</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lang w:eastAsia="en-GB"/>
              </w:rPr>
            </w:pPr>
            <w:r>
              <w:rPr>
                <w:rFonts w:cs="Segoe UI"/>
                <w:sz w:val="17"/>
                <w:szCs w:val="17"/>
                <w:lang w:eastAsia="en-GB"/>
              </w:rPr>
              <w:t>(f)</w:t>
            </w:r>
          </w:p>
        </w:tc>
        <w:tc>
          <w:tcPr>
            <w:tcW w:w="8789" w:type="dxa"/>
          </w:tcPr>
          <w:p w:rsidR="002A0515" w:rsidRPr="00D645DB" w:rsidRDefault="002A0515" w:rsidP="00A54BE4">
            <w:pPr>
              <w:keepLines/>
              <w:widowControl w:val="0"/>
              <w:tabs>
                <w:tab w:val="left" w:pos="150"/>
                <w:tab w:val="left" w:pos="397"/>
                <w:tab w:val="left" w:pos="794"/>
                <w:tab w:val="left" w:pos="1191"/>
              </w:tabs>
              <w:spacing w:before="20" w:after="20"/>
              <w:jc w:val="both"/>
              <w:rPr>
                <w:rFonts w:cs="Segoe UI"/>
                <w:sz w:val="17"/>
                <w:szCs w:val="17"/>
                <w:lang w:eastAsia="en-GB"/>
              </w:rPr>
            </w:pPr>
            <w:r>
              <w:rPr>
                <w:rFonts w:cs="Segoe UI"/>
                <w:i/>
                <w:sz w:val="17"/>
                <w:szCs w:val="17"/>
                <w:lang w:eastAsia="en-GB"/>
              </w:rPr>
              <w:t>RWA</w:t>
            </w:r>
            <w:r>
              <w:rPr>
                <w:rFonts w:cs="Segoe UI"/>
                <w:sz w:val="17"/>
                <w:szCs w:val="17"/>
                <w:lang w:eastAsia="en-GB"/>
              </w:rPr>
              <w:t xml:space="preserve">: the product of the default risk exposure after CRM and the risk weight applicable to the counterparty concerned.  </w:t>
            </w:r>
          </w:p>
        </w:tc>
      </w:tr>
      <w:tr w:rsidR="002A0515" w:rsidTr="00A54BE4">
        <w:tc>
          <w:tcPr>
            <w:tcW w:w="9214" w:type="dxa"/>
            <w:gridSpan w:val="2"/>
            <w:shd w:val="clear" w:color="auto" w:fill="F2F2F2"/>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Rows</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1</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lang w:eastAsia="en-GB"/>
              </w:rPr>
            </w:pPr>
            <w:r>
              <w:rPr>
                <w:i/>
                <w:sz w:val="17"/>
                <w:szCs w:val="17"/>
                <w:lang w:eastAsia="en-GB"/>
              </w:rPr>
              <w:t>SA-CCR approach (for derivative contracts)</w:t>
            </w:r>
            <w:r>
              <w:rPr>
                <w:sz w:val="17"/>
                <w:szCs w:val="17"/>
                <w:lang w:eastAsia="en-GB"/>
              </w:rPr>
              <w:t xml:space="preserve">: </w:t>
            </w:r>
            <w:r>
              <w:rPr>
                <w:sz w:val="17"/>
                <w:szCs w:val="17"/>
                <w:lang w:val="en-US"/>
              </w:rPr>
              <w:t xml:space="preserve"> for an AI that uses the SA-CCR approach to calculate</w:t>
            </w:r>
            <w:r w:rsidRPr="00AC6DA4">
              <w:rPr>
                <w:sz w:val="17"/>
                <w:lang w:val="en-US"/>
              </w:rPr>
              <w:t xml:space="preserve"> default risk </w:t>
            </w:r>
            <w:r>
              <w:rPr>
                <w:sz w:val="17"/>
                <w:szCs w:val="17"/>
                <w:lang w:val="en-US"/>
              </w:rPr>
              <w:t>exposure in respect of derivative contracts, the AI should report the relevant figures</w:t>
            </w:r>
            <w:r w:rsidRPr="00AC6DA4">
              <w:rPr>
                <w:sz w:val="17"/>
                <w:lang w:val="en-US"/>
              </w:rPr>
              <w:t xml:space="preserve"> under </w:t>
            </w:r>
            <w:r>
              <w:rPr>
                <w:sz w:val="17"/>
                <w:szCs w:val="17"/>
                <w:lang w:val="en-US"/>
              </w:rPr>
              <w:t>column (a) to (f) where</w:t>
            </w:r>
            <w:r w:rsidRPr="00AC6DA4">
              <w:rPr>
                <w:sz w:val="17"/>
                <w:lang w:val="en-US"/>
              </w:rPr>
              <w:t xml:space="preserve"> applicable.</w:t>
            </w:r>
            <w:r>
              <w:rPr>
                <w:sz w:val="17"/>
                <w:szCs w:val="17"/>
                <w:lang w:val="en-US"/>
              </w:rPr>
              <w:t xml:space="preserve">  </w:t>
            </w:r>
            <w:r>
              <w:rPr>
                <w:rFonts w:cs="Segoe UI"/>
                <w:sz w:val="17"/>
                <w:szCs w:val="17"/>
                <w:lang w:eastAsia="en-GB"/>
              </w:rPr>
              <w:t>The value in [CCR1: 1/f] should be equal to the value in [OV1: 7/a].</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1a</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lang w:eastAsia="en-GB"/>
              </w:rPr>
            </w:pPr>
            <w:r>
              <w:rPr>
                <w:i/>
                <w:sz w:val="17"/>
                <w:szCs w:val="17"/>
                <w:lang w:eastAsia="en-GB"/>
              </w:rPr>
              <w:t>CEM (for derivative contracts)</w:t>
            </w:r>
            <w:r>
              <w:rPr>
                <w:sz w:val="17"/>
                <w:szCs w:val="17"/>
                <w:lang w:eastAsia="en-GB"/>
              </w:rPr>
              <w:t>:</w:t>
            </w:r>
            <w:r>
              <w:rPr>
                <w:sz w:val="17"/>
                <w:szCs w:val="17"/>
                <w:lang w:val="en-US"/>
              </w:rPr>
              <w:t xml:space="preserve"> for an AI that uses the CEM to calculate default risk exposure in respect of derivative contracts, the AI should report the relevant figures under column (a) to (f) where applicable.  </w:t>
            </w:r>
            <w:r>
              <w:rPr>
                <w:rFonts w:cs="Segoe UI"/>
                <w:sz w:val="17"/>
                <w:szCs w:val="17"/>
                <w:lang w:eastAsia="en-GB"/>
              </w:rPr>
              <w:t>The value in [CCR1: 1a/f] should be equal to the value in [OV1: 7a/a].</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2</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lang w:eastAsia="en-GB"/>
              </w:rPr>
            </w:pPr>
            <w:r>
              <w:rPr>
                <w:i/>
                <w:sz w:val="17"/>
                <w:szCs w:val="17"/>
                <w:lang w:eastAsia="en-GB"/>
              </w:rPr>
              <w:t>IMM(CCR) approach</w:t>
            </w:r>
            <w:r>
              <w:rPr>
                <w:sz w:val="17"/>
                <w:szCs w:val="17"/>
                <w:lang w:eastAsia="en-GB"/>
              </w:rPr>
              <w:t xml:space="preserve">: this has the meaning given to it by the BCR.  </w:t>
            </w:r>
            <w:r>
              <w:rPr>
                <w:rFonts w:cs="Segoe UI"/>
                <w:sz w:val="17"/>
                <w:szCs w:val="17"/>
                <w:lang w:eastAsia="en-GB"/>
              </w:rPr>
              <w:t xml:space="preserve">The value in [CCR1: 2/f] should be equal to the value in </w:t>
            </w:r>
            <w:r w:rsidRPr="005D4CB5">
              <w:rPr>
                <w:sz w:val="17"/>
              </w:rPr>
              <w:t>[</w:t>
            </w:r>
            <w:r w:rsidRPr="005D4CB5">
              <w:rPr>
                <w:rFonts w:cs="Segoe UI"/>
                <w:sz w:val="17"/>
                <w:szCs w:val="17"/>
                <w:lang w:eastAsia="en-GB"/>
              </w:rPr>
              <w:t>CCR7: 9/a] and [OV1: 8/a].</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3</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lang w:eastAsia="en-GB"/>
              </w:rPr>
            </w:pPr>
            <w:r>
              <w:rPr>
                <w:i/>
                <w:sz w:val="17"/>
                <w:szCs w:val="17"/>
                <w:lang w:eastAsia="en-GB"/>
              </w:rPr>
              <w:t>Simple approach (for SFTs)</w:t>
            </w:r>
            <w:r>
              <w:rPr>
                <w:sz w:val="17"/>
                <w:szCs w:val="17"/>
                <w:lang w:eastAsia="en-GB"/>
              </w:rPr>
              <w:t xml:space="preserve">: the default risk exposures after CRM and RWAs in respect of SFTs by the following </w:t>
            </w:r>
            <w:proofErr w:type="gramStart"/>
            <w:r>
              <w:rPr>
                <w:sz w:val="17"/>
                <w:szCs w:val="17"/>
                <w:lang w:eastAsia="en-GB"/>
              </w:rPr>
              <w:t>AIs:-</w:t>
            </w:r>
            <w:proofErr w:type="gramEnd"/>
          </w:p>
          <w:p w:rsidR="002A0515" w:rsidRDefault="002A0515" w:rsidP="002A0515">
            <w:pPr>
              <w:pStyle w:val="ListParagraph"/>
              <w:keepLines/>
              <w:widowControl w:val="0"/>
              <w:numPr>
                <w:ilvl w:val="0"/>
                <w:numId w:val="24"/>
              </w:numPr>
              <w:spacing w:before="20" w:after="20"/>
              <w:ind w:leftChars="0" w:left="317" w:hanging="317"/>
              <w:jc w:val="both"/>
              <w:rPr>
                <w:sz w:val="17"/>
                <w:szCs w:val="17"/>
                <w:lang w:eastAsia="en-GB"/>
              </w:rPr>
            </w:pPr>
            <w:r>
              <w:rPr>
                <w:sz w:val="17"/>
                <w:szCs w:val="17"/>
                <w:lang w:eastAsia="en-GB"/>
              </w:rPr>
              <w:t>AIs that do not use the IMM(CCR) approach to calculate their default risk exposures in respect of SFTs;</w:t>
            </w:r>
          </w:p>
          <w:p w:rsidR="002A0515" w:rsidRDefault="002A0515" w:rsidP="002A0515">
            <w:pPr>
              <w:pStyle w:val="ListParagraph"/>
              <w:keepLines/>
              <w:widowControl w:val="0"/>
              <w:numPr>
                <w:ilvl w:val="0"/>
                <w:numId w:val="24"/>
              </w:numPr>
              <w:spacing w:before="20" w:after="20"/>
              <w:ind w:leftChars="0" w:left="317" w:hanging="317"/>
              <w:jc w:val="both"/>
              <w:rPr>
                <w:sz w:val="17"/>
                <w:szCs w:val="17"/>
                <w:lang w:eastAsia="en-GB"/>
              </w:rPr>
            </w:pPr>
            <w:r>
              <w:rPr>
                <w:sz w:val="17"/>
                <w:szCs w:val="17"/>
                <w:lang w:eastAsia="en-GB"/>
              </w:rPr>
              <w:t>AIs that use the simple approach set out in Part 4 of the BCR, or the treatments for recognized collateral set out in Part 5 of the BCR, to take into account the recognized collateral received under SFTs.</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4</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lang w:eastAsia="en-GB"/>
              </w:rPr>
            </w:pPr>
            <w:r>
              <w:rPr>
                <w:i/>
                <w:sz w:val="17"/>
                <w:szCs w:val="17"/>
                <w:lang w:eastAsia="en-GB"/>
              </w:rPr>
              <w:t>Comprehensive approach (for SFTs)</w:t>
            </w:r>
            <w:r>
              <w:rPr>
                <w:sz w:val="17"/>
                <w:szCs w:val="17"/>
                <w:lang w:eastAsia="en-GB"/>
              </w:rPr>
              <w:t xml:space="preserve">: the default risk exposures after CRM and RWAs in respect of SFTs by the following </w:t>
            </w:r>
            <w:proofErr w:type="gramStart"/>
            <w:r>
              <w:rPr>
                <w:sz w:val="17"/>
                <w:szCs w:val="17"/>
                <w:lang w:eastAsia="en-GB"/>
              </w:rPr>
              <w:t>AIs:-</w:t>
            </w:r>
            <w:proofErr w:type="gramEnd"/>
          </w:p>
          <w:p w:rsidR="002A0515" w:rsidRDefault="002A0515" w:rsidP="002A0515">
            <w:pPr>
              <w:pStyle w:val="ListParagraph"/>
              <w:keepLines/>
              <w:widowControl w:val="0"/>
              <w:numPr>
                <w:ilvl w:val="0"/>
                <w:numId w:val="25"/>
              </w:numPr>
              <w:spacing w:before="20" w:after="20"/>
              <w:ind w:leftChars="0" w:left="317" w:hanging="317"/>
              <w:jc w:val="both"/>
              <w:rPr>
                <w:sz w:val="17"/>
                <w:szCs w:val="17"/>
              </w:rPr>
            </w:pPr>
            <w:r>
              <w:rPr>
                <w:sz w:val="17"/>
                <w:szCs w:val="17"/>
                <w:lang w:eastAsia="en-GB"/>
              </w:rPr>
              <w:t>AIs that do not use the IMM(CCR) approach to calculate their default risk exposures in respect of SFTs;</w:t>
            </w:r>
          </w:p>
          <w:p w:rsidR="002A0515" w:rsidRDefault="002A0515" w:rsidP="002A0515">
            <w:pPr>
              <w:pStyle w:val="ListParagraph"/>
              <w:keepLines/>
              <w:widowControl w:val="0"/>
              <w:numPr>
                <w:ilvl w:val="0"/>
                <w:numId w:val="25"/>
              </w:numPr>
              <w:spacing w:before="20" w:after="20"/>
              <w:ind w:leftChars="0" w:left="317" w:hanging="317"/>
              <w:jc w:val="both"/>
              <w:rPr>
                <w:sz w:val="17"/>
                <w:szCs w:val="17"/>
              </w:rPr>
            </w:pPr>
            <w:r>
              <w:rPr>
                <w:sz w:val="17"/>
                <w:szCs w:val="17"/>
                <w:lang w:eastAsia="en-GB"/>
              </w:rPr>
              <w:t xml:space="preserve">AIs that use the comprehensive approach set out in Part 4 of the BCR to take into account the recognized collateral received under SFTs and/or use the method (other than a </w:t>
            </w:r>
            <w:proofErr w:type="spellStart"/>
            <w:r>
              <w:rPr>
                <w:sz w:val="17"/>
                <w:szCs w:val="17"/>
                <w:lang w:eastAsia="en-GB"/>
              </w:rPr>
              <w:t>VaR</w:t>
            </w:r>
            <w:proofErr w:type="spellEnd"/>
            <w:r>
              <w:rPr>
                <w:sz w:val="17"/>
                <w:szCs w:val="17"/>
                <w:lang w:eastAsia="en-GB"/>
              </w:rPr>
              <w:t xml:space="preserve"> model as discussed below) provided for under the BCR to take into account recognized netting for repo-style transactions.</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5</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rPr>
            </w:pPr>
            <w:proofErr w:type="spellStart"/>
            <w:r>
              <w:rPr>
                <w:i/>
                <w:sz w:val="17"/>
                <w:szCs w:val="17"/>
              </w:rPr>
              <w:t>VaR</w:t>
            </w:r>
            <w:proofErr w:type="spellEnd"/>
            <w:r>
              <w:rPr>
                <w:i/>
                <w:sz w:val="17"/>
                <w:szCs w:val="17"/>
              </w:rPr>
              <w:t xml:space="preserve"> (for SFT</w:t>
            </w:r>
            <w:r>
              <w:rPr>
                <w:sz w:val="17"/>
                <w:szCs w:val="17"/>
              </w:rPr>
              <w:t xml:space="preserve">s): this row is for AIs that have obtained the MA’s approval for using a </w:t>
            </w:r>
            <w:proofErr w:type="spellStart"/>
            <w:r>
              <w:rPr>
                <w:sz w:val="17"/>
                <w:szCs w:val="17"/>
              </w:rPr>
              <w:t>VaR</w:t>
            </w:r>
            <w:proofErr w:type="spellEnd"/>
            <w:r>
              <w:rPr>
                <w:sz w:val="17"/>
                <w:szCs w:val="17"/>
              </w:rPr>
              <w:t xml:space="preserve"> model to calculate the default risk exposure of their </w:t>
            </w:r>
            <w:proofErr w:type="spellStart"/>
            <w:r>
              <w:rPr>
                <w:sz w:val="17"/>
                <w:szCs w:val="17"/>
              </w:rPr>
              <w:t>nettable</w:t>
            </w:r>
            <w:proofErr w:type="spellEnd"/>
            <w:r>
              <w:rPr>
                <w:sz w:val="17"/>
                <w:szCs w:val="17"/>
              </w:rPr>
              <w:t xml:space="preserve"> repo-style transactions to disclose the default risk exposure so calculated and the associated RWA.</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6</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rPr>
            </w:pPr>
            <w:r>
              <w:rPr>
                <w:i/>
                <w:sz w:val="17"/>
                <w:szCs w:val="17"/>
              </w:rPr>
              <w:t>Total</w:t>
            </w:r>
            <w:r>
              <w:rPr>
                <w:sz w:val="17"/>
                <w:szCs w:val="17"/>
              </w:rPr>
              <w:t>: this row reports the sum of values in rows 1 to 5.</w:t>
            </w:r>
          </w:p>
        </w:tc>
      </w:tr>
    </w:tbl>
    <w:p w:rsidR="002A0515" w:rsidRDefault="002A0515" w:rsidP="002A0515">
      <w:pPr>
        <w:spacing w:before="40" w:after="40"/>
        <w:rPr>
          <w:sz w:val="22"/>
        </w:rPr>
        <w:sectPr w:rsidR="002A0515">
          <w:footerReference w:type="default" r:id="rId19"/>
          <w:pgSz w:w="11906" w:h="16838" w:code="9"/>
          <w:pgMar w:top="1440" w:right="1797" w:bottom="1440" w:left="1797" w:header="851" w:footer="737" w:gutter="0"/>
          <w:cols w:space="425"/>
          <w:docGrid w:type="linesAndChar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A0515" w:rsidTr="00A54BE4">
        <w:tc>
          <w:tcPr>
            <w:tcW w:w="9242" w:type="dxa"/>
            <w:gridSpan w:val="2"/>
            <w:tcBorders>
              <w:top w:val="nil"/>
            </w:tcBorders>
          </w:tcPr>
          <w:p w:rsidR="002A0515" w:rsidRDefault="002A0515" w:rsidP="00A54BE4">
            <w:pPr>
              <w:spacing w:before="40" w:after="40"/>
              <w:rPr>
                <w:noProof/>
                <w:sz w:val="17"/>
                <w:lang w:eastAsia="en-GB"/>
              </w:rPr>
            </w:pPr>
            <w:r>
              <w:rPr>
                <w:sz w:val="22"/>
              </w:rPr>
              <w:t>Template CCR2: CVA capital charge</w:t>
            </w:r>
          </w:p>
        </w:tc>
      </w:tr>
      <w:tr w:rsidR="002A0515" w:rsidTr="00A54BE4">
        <w:tc>
          <w:tcPr>
            <w:tcW w:w="2008" w:type="dxa"/>
          </w:tcPr>
          <w:p w:rsidR="002A0515" w:rsidRDefault="002A0515" w:rsidP="00A54BE4">
            <w:pPr>
              <w:spacing w:before="40" w:after="40"/>
              <w:rPr>
                <w:noProof/>
                <w:sz w:val="17"/>
                <w:lang w:eastAsia="en-GB"/>
              </w:rPr>
            </w:pPr>
            <w:r>
              <w:rPr>
                <w:b/>
                <w:sz w:val="17"/>
                <w:lang w:eastAsia="en-GB"/>
              </w:rPr>
              <w:t>Purpose:</w:t>
            </w:r>
            <w:r>
              <w:rPr>
                <w:sz w:val="17"/>
                <w:lang w:eastAsia="en-GB"/>
              </w:rPr>
              <w:t xml:space="preserve"> </w:t>
            </w:r>
          </w:p>
        </w:tc>
        <w:tc>
          <w:tcPr>
            <w:tcW w:w="7234" w:type="dxa"/>
          </w:tcPr>
          <w:p w:rsidR="002A0515" w:rsidRDefault="002A0515" w:rsidP="00A54BE4">
            <w:pPr>
              <w:pStyle w:val="TableText"/>
              <w:jc w:val="both"/>
              <w:rPr>
                <w:noProof/>
                <w:lang w:eastAsia="en-GB"/>
              </w:rPr>
            </w:pPr>
            <w:r>
              <w:rPr>
                <w:lang w:eastAsia="en-GB"/>
              </w:rPr>
              <w:t xml:space="preserve">To provide information on portfolios subject to the CVA capital charge and the CVA calculations based on </w:t>
            </w:r>
            <w:r>
              <w:rPr>
                <w:bCs/>
                <w:szCs w:val="17"/>
                <w:lang w:eastAsia="en-CA"/>
              </w:rPr>
              <w:t>standardized CVA method</w:t>
            </w:r>
            <w:r>
              <w:rPr>
                <w:lang w:eastAsia="en-GB"/>
              </w:rPr>
              <w:t xml:space="preserve"> and </w:t>
            </w:r>
            <w:r>
              <w:rPr>
                <w:bCs/>
                <w:szCs w:val="17"/>
                <w:lang w:eastAsia="en-CA"/>
              </w:rPr>
              <w:t>advanced CVA method</w:t>
            </w:r>
            <w:r>
              <w:rPr>
                <w:lang w:eastAsia="en-GB"/>
              </w:rPr>
              <w:t xml:space="preserve">. </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Scope of application: </w:t>
            </w:r>
          </w:p>
        </w:tc>
        <w:tc>
          <w:tcPr>
            <w:tcW w:w="7234" w:type="dxa"/>
          </w:tcPr>
          <w:p w:rsidR="002A0515" w:rsidRDefault="002A0515" w:rsidP="00A54BE4">
            <w:pPr>
              <w:spacing w:before="40" w:after="40"/>
              <w:jc w:val="both"/>
              <w:rPr>
                <w:rFonts w:eastAsia="新細明體"/>
                <w:b/>
                <w:sz w:val="17"/>
                <w:lang w:eastAsia="en-GB"/>
              </w:rPr>
            </w:pPr>
            <w:r>
              <w:rPr>
                <w:rFonts w:eastAsia="新細明體"/>
                <w:sz w:val="17"/>
                <w:lang w:eastAsia="en-GB"/>
              </w:rPr>
              <w:t>The template is mandatory for AIs incorporated in Hong Kong with exposures subject to CVA capital charges.</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Content: </w:t>
            </w:r>
          </w:p>
        </w:tc>
        <w:tc>
          <w:tcPr>
            <w:tcW w:w="7234" w:type="dxa"/>
          </w:tcPr>
          <w:p w:rsidR="002A0515" w:rsidRDefault="002A0515" w:rsidP="00A54BE4">
            <w:pPr>
              <w:spacing w:before="40" w:after="40"/>
              <w:jc w:val="both"/>
              <w:rPr>
                <w:rFonts w:eastAsia="新細明體"/>
                <w:b/>
                <w:sz w:val="17"/>
                <w:lang w:eastAsia="en-GB"/>
              </w:rPr>
            </w:pPr>
            <w:r>
              <w:rPr>
                <w:rFonts w:eastAsia="新細明體"/>
                <w:sz w:val="17"/>
                <w:lang w:eastAsia="en-GB"/>
              </w:rPr>
              <w:t>Risk-weighted assets and corresponding exposures at default.</w:t>
            </w:r>
          </w:p>
        </w:tc>
      </w:tr>
      <w:tr w:rsidR="002A0515" w:rsidTr="00A54BE4">
        <w:tc>
          <w:tcPr>
            <w:tcW w:w="2008" w:type="dxa"/>
          </w:tcPr>
          <w:p w:rsidR="002A0515" w:rsidRDefault="002A0515" w:rsidP="00A54BE4">
            <w:pPr>
              <w:spacing w:before="40" w:after="40"/>
              <w:rPr>
                <w:sz w:val="17"/>
                <w:lang w:eastAsia="en-GB"/>
              </w:rPr>
            </w:pPr>
            <w:r>
              <w:rPr>
                <w:b/>
                <w:sz w:val="17"/>
                <w:lang w:eastAsia="en-GB"/>
              </w:rPr>
              <w:t>Frequency:</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Semi-annual.</w:t>
            </w:r>
          </w:p>
        </w:tc>
      </w:tr>
      <w:tr w:rsidR="002A0515" w:rsidTr="00A54BE4">
        <w:tc>
          <w:tcPr>
            <w:tcW w:w="2008" w:type="dxa"/>
          </w:tcPr>
          <w:p w:rsidR="002A0515" w:rsidRDefault="002A0515" w:rsidP="00A54BE4">
            <w:pPr>
              <w:spacing w:before="40" w:after="40"/>
              <w:rPr>
                <w:sz w:val="17"/>
                <w:lang w:eastAsia="en-GB"/>
              </w:rPr>
            </w:pPr>
            <w:r>
              <w:rPr>
                <w:b/>
                <w:sz w:val="17"/>
                <w:lang w:eastAsia="en-GB"/>
              </w:rPr>
              <w:t>Format:</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Fixed.</w:t>
            </w:r>
          </w:p>
        </w:tc>
      </w:tr>
      <w:tr w:rsidR="002A0515" w:rsidTr="00A54BE4">
        <w:tc>
          <w:tcPr>
            <w:tcW w:w="2008" w:type="dxa"/>
          </w:tcPr>
          <w:p w:rsidR="002A0515" w:rsidRDefault="002A0515" w:rsidP="00A54BE4">
            <w:pPr>
              <w:spacing w:before="40" w:after="40"/>
              <w:rPr>
                <w:b/>
                <w:sz w:val="17"/>
                <w:lang w:eastAsia="en-GB"/>
              </w:rPr>
            </w:pPr>
            <w:r>
              <w:rPr>
                <w:rFonts w:eastAsia="新細明體"/>
                <w:b/>
                <w:sz w:val="17"/>
                <w:szCs w:val="17"/>
                <w:lang w:eastAsia="en-GB"/>
              </w:rPr>
              <w:t>Accompanying narrative</w:t>
            </w:r>
            <w:r>
              <w:rPr>
                <w:rFonts w:eastAsia="新細明體"/>
                <w:sz w:val="17"/>
                <w:szCs w:val="17"/>
                <w:lang w:eastAsia="en-GB"/>
              </w:rPr>
              <w:t>:</w:t>
            </w:r>
          </w:p>
        </w:tc>
        <w:tc>
          <w:tcPr>
            <w:tcW w:w="7234" w:type="dxa"/>
          </w:tcPr>
          <w:p w:rsidR="002A0515" w:rsidRDefault="002A0515" w:rsidP="00A54BE4">
            <w:pPr>
              <w:pStyle w:val="TableText"/>
              <w:jc w:val="both"/>
              <w:rPr>
                <w:lang w:eastAsia="en-GB"/>
              </w:rPr>
            </w:pPr>
            <w:r>
              <w:rPr>
                <w:szCs w:val="17"/>
                <w:lang w:eastAsia="en-GB"/>
              </w:rPr>
              <w:t>An AI should supplement the template with a narrative commentary to explain any material movements in the current reporting period and the key drivers of such movements.</w:t>
            </w:r>
            <w:r>
              <w:rPr>
                <w:lang w:eastAsia="en-GB"/>
              </w:rPr>
              <w:t xml:space="preserve"> </w:t>
            </w:r>
          </w:p>
        </w:tc>
      </w:tr>
      <w:tr w:rsidR="002A0515" w:rsidTr="00A54BE4">
        <w:tc>
          <w:tcPr>
            <w:tcW w:w="2008" w:type="dxa"/>
          </w:tcPr>
          <w:p w:rsidR="002A0515" w:rsidRDefault="002A0515" w:rsidP="00A54BE4">
            <w:pPr>
              <w:spacing w:before="40" w:after="40"/>
              <w:rPr>
                <w:rFonts w:eastAsia="新細明體"/>
                <w:b/>
                <w:sz w:val="17"/>
                <w:szCs w:val="17"/>
                <w:lang w:eastAsia="en-GB"/>
              </w:rPr>
            </w:pPr>
            <w:r>
              <w:rPr>
                <w:rFonts w:eastAsia="新細明體"/>
                <w:b/>
                <w:sz w:val="17"/>
                <w:szCs w:val="17"/>
                <w:lang w:eastAsia="en-GB"/>
              </w:rPr>
              <w:t>Corresponding BDR section:</w:t>
            </w:r>
          </w:p>
        </w:tc>
        <w:tc>
          <w:tcPr>
            <w:tcW w:w="7234" w:type="dxa"/>
          </w:tcPr>
          <w:p w:rsidR="002A0515" w:rsidRDefault="002A0515" w:rsidP="00A54BE4">
            <w:pPr>
              <w:pStyle w:val="TableText"/>
              <w:jc w:val="both"/>
              <w:rPr>
                <w:szCs w:val="17"/>
                <w:lang w:eastAsia="en-GB"/>
              </w:rPr>
            </w:pPr>
            <w:r>
              <w:rPr>
                <w:szCs w:val="17"/>
                <w:lang w:eastAsia="en-GB"/>
              </w:rPr>
              <w:t>16X</w:t>
            </w:r>
          </w:p>
        </w:tc>
      </w:tr>
    </w:tbl>
    <w:p w:rsidR="002A0515" w:rsidRDefault="002A0515" w:rsidP="002A0515">
      <w:pPr>
        <w:spacing w:before="120" w:after="120"/>
        <w:ind w:leftChars="-283" w:left="-566"/>
        <w:rPr>
          <w:sz w:val="22"/>
        </w:rPr>
      </w:pPr>
    </w:p>
    <w:tbl>
      <w:tblPr>
        <w:tblW w:w="9242" w:type="dxa"/>
        <w:tblInd w:w="-459" w:type="dxa"/>
        <w:tblLayout w:type="fixed"/>
        <w:tblLook w:val="04A0" w:firstRow="1" w:lastRow="0" w:firstColumn="1" w:lastColumn="0" w:noHBand="0" w:noVBand="1"/>
      </w:tblPr>
      <w:tblGrid>
        <w:gridCol w:w="425"/>
        <w:gridCol w:w="5671"/>
        <w:gridCol w:w="1573"/>
        <w:gridCol w:w="1573"/>
      </w:tblGrid>
      <w:tr w:rsidR="002A0515" w:rsidTr="00A54BE4">
        <w:trPr>
          <w:trHeight w:val="177"/>
        </w:trPr>
        <w:tc>
          <w:tcPr>
            <w:tcW w:w="425" w:type="dxa"/>
          </w:tcPr>
          <w:p w:rsidR="002A0515" w:rsidRDefault="002A0515" w:rsidP="00A54BE4">
            <w:pPr>
              <w:pStyle w:val="TableText"/>
              <w:snapToGrid w:val="0"/>
              <w:rPr>
                <w:szCs w:val="17"/>
                <w:lang w:eastAsia="en-CA"/>
              </w:rPr>
            </w:pPr>
          </w:p>
        </w:tc>
        <w:tc>
          <w:tcPr>
            <w:tcW w:w="5671" w:type="dxa"/>
            <w:tcBorders>
              <w:right w:val="single" w:sz="4" w:space="0" w:color="auto"/>
            </w:tcBorders>
            <w:vAlign w:val="center"/>
          </w:tcPr>
          <w:p w:rsidR="002A0515" w:rsidRDefault="002A0515" w:rsidP="00A54BE4">
            <w:pPr>
              <w:pStyle w:val="TableText"/>
              <w:snapToGrid w:val="0"/>
              <w:rPr>
                <w:szCs w:val="17"/>
                <w:lang w:eastAsia="en-CA"/>
              </w:rPr>
            </w:pPr>
          </w:p>
        </w:tc>
        <w:tc>
          <w:tcPr>
            <w:tcW w:w="1573"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szCs w:val="17"/>
                <w:lang w:eastAsia="en-CA"/>
              </w:rPr>
            </w:pPr>
            <w:r>
              <w:rPr>
                <w:bCs/>
                <w:szCs w:val="17"/>
                <w:lang w:eastAsia="en-CA"/>
              </w:rPr>
              <w:t>(a)</w:t>
            </w:r>
          </w:p>
        </w:tc>
        <w:tc>
          <w:tcPr>
            <w:tcW w:w="1573"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szCs w:val="17"/>
                <w:lang w:eastAsia="en-CA"/>
              </w:rPr>
            </w:pPr>
            <w:r>
              <w:rPr>
                <w:bCs/>
                <w:szCs w:val="17"/>
                <w:lang w:eastAsia="en-CA"/>
              </w:rPr>
              <w:t>(b)</w:t>
            </w:r>
          </w:p>
        </w:tc>
      </w:tr>
      <w:tr w:rsidR="002A0515" w:rsidTr="00A54BE4">
        <w:trPr>
          <w:trHeight w:val="295"/>
        </w:trPr>
        <w:tc>
          <w:tcPr>
            <w:tcW w:w="425" w:type="dxa"/>
          </w:tcPr>
          <w:p w:rsidR="002A0515" w:rsidRDefault="002A0515" w:rsidP="00A54BE4">
            <w:pPr>
              <w:pStyle w:val="TableText"/>
              <w:snapToGrid w:val="0"/>
              <w:rPr>
                <w:szCs w:val="17"/>
                <w:lang w:eastAsia="en-CA"/>
              </w:rPr>
            </w:pPr>
          </w:p>
        </w:tc>
        <w:tc>
          <w:tcPr>
            <w:tcW w:w="5671" w:type="dxa"/>
            <w:tcBorders>
              <w:bottom w:val="single" w:sz="4" w:space="0" w:color="auto"/>
              <w:right w:val="single" w:sz="4" w:space="0" w:color="auto"/>
            </w:tcBorders>
            <w:vAlign w:val="center"/>
          </w:tcPr>
          <w:p w:rsidR="002A0515" w:rsidRDefault="002A0515" w:rsidP="00A54BE4">
            <w:pPr>
              <w:pStyle w:val="TableText"/>
              <w:snapToGrid w:val="0"/>
              <w:ind w:leftChars="-494" w:left="-988"/>
              <w:rPr>
                <w:szCs w:val="17"/>
                <w:lang w:eastAsia="en-CA"/>
              </w:rPr>
            </w:pPr>
            <w:r>
              <w:rPr>
                <w:szCs w:val="17"/>
                <w:lang w:eastAsia="en-CA"/>
              </w:rPr>
              <w:t> </w:t>
            </w:r>
          </w:p>
        </w:tc>
        <w:tc>
          <w:tcPr>
            <w:tcW w:w="1573"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szCs w:val="17"/>
                <w:lang w:eastAsia="en-CA"/>
              </w:rPr>
            </w:pPr>
            <w:r>
              <w:rPr>
                <w:bCs/>
                <w:szCs w:val="17"/>
                <w:lang w:eastAsia="en-CA"/>
              </w:rPr>
              <w:t>EAD post CRM</w:t>
            </w:r>
          </w:p>
        </w:tc>
        <w:tc>
          <w:tcPr>
            <w:tcW w:w="1573"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szCs w:val="17"/>
                <w:lang w:eastAsia="en-CA"/>
              </w:rPr>
            </w:pPr>
            <w:r>
              <w:rPr>
                <w:bCs/>
                <w:szCs w:val="17"/>
                <w:lang w:eastAsia="en-CA"/>
              </w:rPr>
              <w:t>RWA</w:t>
            </w:r>
          </w:p>
        </w:tc>
      </w:tr>
      <w:tr w:rsidR="002A0515" w:rsidTr="00A54BE4">
        <w:trPr>
          <w:trHeight w:val="315"/>
        </w:trPr>
        <w:tc>
          <w:tcPr>
            <w:tcW w:w="425" w:type="dxa"/>
            <w:tcBorders>
              <w:bottom w:val="single" w:sz="4" w:space="0" w:color="BFBFBF"/>
              <w:right w:val="single" w:sz="4" w:space="0" w:color="auto"/>
            </w:tcBorders>
          </w:tcPr>
          <w:p w:rsidR="002A0515" w:rsidRDefault="002A0515" w:rsidP="00A54BE4">
            <w:pPr>
              <w:pStyle w:val="TableText"/>
              <w:snapToGrid w:val="0"/>
              <w:rPr>
                <w:bCs/>
                <w:szCs w:val="17"/>
                <w:lang w:eastAsia="en-CA"/>
              </w:rPr>
            </w:pPr>
          </w:p>
        </w:tc>
        <w:tc>
          <w:tcPr>
            <w:tcW w:w="5671" w:type="dxa"/>
            <w:tcBorders>
              <w:top w:val="single" w:sz="4" w:space="0" w:color="auto"/>
              <w:left w:val="single" w:sz="4" w:space="0" w:color="auto"/>
              <w:bottom w:val="single" w:sz="4" w:space="0" w:color="BFBFBF"/>
              <w:right w:val="single" w:sz="4" w:space="0" w:color="auto"/>
            </w:tcBorders>
            <w:vAlign w:val="center"/>
          </w:tcPr>
          <w:p w:rsidR="002A0515" w:rsidRDefault="002A0515" w:rsidP="00A54BE4">
            <w:pPr>
              <w:pStyle w:val="TableText"/>
              <w:snapToGrid w:val="0"/>
              <w:rPr>
                <w:bCs/>
                <w:szCs w:val="17"/>
                <w:lang w:eastAsia="en-CA"/>
              </w:rPr>
            </w:pPr>
            <w:r>
              <w:rPr>
                <w:bCs/>
                <w:szCs w:val="17"/>
                <w:lang w:eastAsia="en-CA"/>
              </w:rPr>
              <w:t xml:space="preserve">Netting sets for which CVA capital charge is calculated by the advanced CVA method </w:t>
            </w:r>
          </w:p>
        </w:tc>
        <w:tc>
          <w:tcPr>
            <w:tcW w:w="1573" w:type="dxa"/>
            <w:tcBorders>
              <w:top w:val="single" w:sz="4" w:space="0" w:color="auto"/>
              <w:left w:val="single" w:sz="4" w:space="0" w:color="auto"/>
              <w:bottom w:val="single" w:sz="4" w:space="0" w:color="BFBFBF"/>
              <w:right w:val="single" w:sz="4" w:space="0" w:color="auto"/>
            </w:tcBorders>
            <w:vAlign w:val="center"/>
          </w:tcPr>
          <w:p w:rsidR="002A0515" w:rsidRDefault="002A0515" w:rsidP="00A54BE4">
            <w:pPr>
              <w:pStyle w:val="TableText"/>
              <w:snapToGrid w:val="0"/>
              <w:rPr>
                <w:bCs/>
                <w:szCs w:val="17"/>
                <w:lang w:eastAsia="en-CA"/>
              </w:rPr>
            </w:pPr>
            <w:r>
              <w:rPr>
                <w:bCs/>
                <w:szCs w:val="17"/>
                <w:lang w:eastAsia="en-CA"/>
              </w:rPr>
              <w:t> </w:t>
            </w:r>
          </w:p>
        </w:tc>
        <w:tc>
          <w:tcPr>
            <w:tcW w:w="1573" w:type="dxa"/>
            <w:tcBorders>
              <w:top w:val="single" w:sz="4" w:space="0" w:color="auto"/>
              <w:left w:val="single" w:sz="4" w:space="0" w:color="auto"/>
              <w:bottom w:val="single" w:sz="4" w:space="0" w:color="BFBFBF"/>
              <w:right w:val="single" w:sz="4" w:space="0" w:color="auto"/>
            </w:tcBorders>
            <w:vAlign w:val="center"/>
          </w:tcPr>
          <w:p w:rsidR="002A0515" w:rsidRDefault="002A0515" w:rsidP="00A54BE4">
            <w:pPr>
              <w:pStyle w:val="TableText"/>
              <w:snapToGrid w:val="0"/>
              <w:rPr>
                <w:bCs/>
                <w:szCs w:val="17"/>
                <w:lang w:eastAsia="en-CA"/>
              </w:rPr>
            </w:pPr>
            <w:r>
              <w:rPr>
                <w:bCs/>
                <w:szCs w:val="17"/>
                <w:lang w:eastAsia="en-CA"/>
              </w:rPr>
              <w:t> </w:t>
            </w:r>
          </w:p>
        </w:tc>
      </w:tr>
      <w:tr w:rsidR="002A0515" w:rsidTr="00A54BE4">
        <w:trPr>
          <w:trHeight w:val="315"/>
        </w:trPr>
        <w:tc>
          <w:tcPr>
            <w:tcW w:w="425" w:type="dxa"/>
            <w:tcBorders>
              <w:top w:val="single" w:sz="4" w:space="0" w:color="BFBFBF"/>
              <w:bottom w:val="single" w:sz="4" w:space="0" w:color="BFBFBF"/>
              <w:right w:val="single" w:sz="4" w:space="0" w:color="auto"/>
            </w:tcBorders>
          </w:tcPr>
          <w:p w:rsidR="002A0515" w:rsidRDefault="002A0515" w:rsidP="00A54BE4">
            <w:pPr>
              <w:pStyle w:val="TableText"/>
              <w:snapToGrid w:val="0"/>
              <w:rPr>
                <w:bCs/>
                <w:szCs w:val="17"/>
                <w:lang w:eastAsia="en-CA"/>
              </w:rPr>
            </w:pPr>
            <w:r>
              <w:rPr>
                <w:bCs/>
                <w:szCs w:val="17"/>
                <w:lang w:eastAsia="en-CA"/>
              </w:rPr>
              <w:t>1</w:t>
            </w:r>
          </w:p>
        </w:tc>
        <w:tc>
          <w:tcPr>
            <w:tcW w:w="5671" w:type="dxa"/>
            <w:tcBorders>
              <w:top w:val="single" w:sz="4" w:space="0" w:color="BFBFBF"/>
              <w:left w:val="single" w:sz="4" w:space="0" w:color="auto"/>
              <w:bottom w:val="single" w:sz="4" w:space="0" w:color="BFBFBF"/>
              <w:right w:val="single" w:sz="4" w:space="0" w:color="auto"/>
            </w:tcBorders>
            <w:vAlign w:val="center"/>
          </w:tcPr>
          <w:p w:rsidR="002A0515" w:rsidRDefault="002A0515" w:rsidP="00A54BE4">
            <w:pPr>
              <w:pStyle w:val="TableText"/>
              <w:snapToGrid w:val="0"/>
              <w:rPr>
                <w:bCs/>
                <w:szCs w:val="17"/>
                <w:lang w:eastAsia="en-CA"/>
              </w:rPr>
            </w:pPr>
            <w:r>
              <w:rPr>
                <w:bCs/>
                <w:szCs w:val="17"/>
                <w:lang w:eastAsia="en-CA"/>
              </w:rPr>
              <w:t>(</w:t>
            </w:r>
            <w:proofErr w:type="spellStart"/>
            <w:r>
              <w:rPr>
                <w:bCs/>
                <w:szCs w:val="17"/>
                <w:lang w:eastAsia="en-CA"/>
              </w:rPr>
              <w:t>i</w:t>
            </w:r>
            <w:proofErr w:type="spellEnd"/>
            <w:r>
              <w:rPr>
                <w:bCs/>
                <w:szCs w:val="17"/>
                <w:lang w:eastAsia="en-CA"/>
              </w:rPr>
              <w:t xml:space="preserve">) </w:t>
            </w:r>
            <w:proofErr w:type="spellStart"/>
            <w:r>
              <w:rPr>
                <w:bCs/>
                <w:szCs w:val="17"/>
                <w:lang w:eastAsia="en-CA"/>
              </w:rPr>
              <w:t>VaR</w:t>
            </w:r>
            <w:proofErr w:type="spellEnd"/>
            <w:r>
              <w:rPr>
                <w:bCs/>
                <w:szCs w:val="17"/>
                <w:lang w:eastAsia="en-CA"/>
              </w:rPr>
              <w:t xml:space="preserve"> (after application of multiplication factor if applicable)</w:t>
            </w:r>
          </w:p>
        </w:tc>
        <w:tc>
          <w:tcPr>
            <w:tcW w:w="1573" w:type="dxa"/>
            <w:tcBorders>
              <w:top w:val="single" w:sz="4" w:space="0" w:color="BFBFBF"/>
              <w:left w:val="single" w:sz="4" w:space="0" w:color="auto"/>
              <w:bottom w:val="single" w:sz="4" w:space="0" w:color="BFBFBF"/>
              <w:right w:val="single" w:sz="4" w:space="0" w:color="auto"/>
            </w:tcBorders>
            <w:shd w:val="clear" w:color="auto" w:fill="BFBFBF"/>
            <w:vAlign w:val="center"/>
          </w:tcPr>
          <w:p w:rsidR="002A0515" w:rsidRDefault="002A0515" w:rsidP="00A54BE4">
            <w:pPr>
              <w:pStyle w:val="TableText"/>
              <w:snapToGrid w:val="0"/>
              <w:rPr>
                <w:szCs w:val="17"/>
                <w:lang w:eastAsia="en-CA"/>
              </w:rPr>
            </w:pPr>
            <w:r>
              <w:rPr>
                <w:szCs w:val="17"/>
                <w:lang w:eastAsia="en-CA"/>
              </w:rPr>
              <w:t> </w:t>
            </w:r>
          </w:p>
        </w:tc>
        <w:tc>
          <w:tcPr>
            <w:tcW w:w="1573" w:type="dxa"/>
            <w:tcBorders>
              <w:top w:val="single" w:sz="4" w:space="0" w:color="BFBFBF"/>
              <w:left w:val="single" w:sz="4" w:space="0" w:color="auto"/>
              <w:bottom w:val="single" w:sz="4" w:space="0" w:color="BFBFBF"/>
              <w:right w:val="single" w:sz="4" w:space="0" w:color="auto"/>
            </w:tcBorders>
            <w:vAlign w:val="center"/>
          </w:tcPr>
          <w:p w:rsidR="002A0515" w:rsidRDefault="002A0515" w:rsidP="00A54BE4">
            <w:pPr>
              <w:pStyle w:val="TableText"/>
              <w:snapToGrid w:val="0"/>
              <w:rPr>
                <w:szCs w:val="17"/>
                <w:lang w:eastAsia="en-CA"/>
              </w:rPr>
            </w:pPr>
            <w:r>
              <w:rPr>
                <w:szCs w:val="17"/>
                <w:lang w:eastAsia="en-CA"/>
              </w:rPr>
              <w:t> </w:t>
            </w:r>
          </w:p>
        </w:tc>
      </w:tr>
      <w:tr w:rsidR="002A0515" w:rsidTr="00A54BE4">
        <w:trPr>
          <w:trHeight w:val="315"/>
        </w:trPr>
        <w:tc>
          <w:tcPr>
            <w:tcW w:w="425" w:type="dxa"/>
            <w:tcBorders>
              <w:top w:val="single" w:sz="4" w:space="0" w:color="BFBFBF"/>
              <w:bottom w:val="single" w:sz="4" w:space="0" w:color="BFBFBF"/>
              <w:right w:val="single" w:sz="4" w:space="0" w:color="auto"/>
            </w:tcBorders>
          </w:tcPr>
          <w:p w:rsidR="002A0515" w:rsidRDefault="002A0515" w:rsidP="00A54BE4">
            <w:pPr>
              <w:pStyle w:val="TableText"/>
              <w:snapToGrid w:val="0"/>
              <w:rPr>
                <w:bCs/>
                <w:szCs w:val="17"/>
                <w:lang w:eastAsia="en-CA"/>
              </w:rPr>
            </w:pPr>
            <w:r>
              <w:rPr>
                <w:bCs/>
                <w:szCs w:val="17"/>
                <w:lang w:eastAsia="en-CA"/>
              </w:rPr>
              <w:t>2</w:t>
            </w:r>
          </w:p>
        </w:tc>
        <w:tc>
          <w:tcPr>
            <w:tcW w:w="5671" w:type="dxa"/>
            <w:tcBorders>
              <w:top w:val="single" w:sz="4" w:space="0" w:color="BFBFBF"/>
              <w:left w:val="single" w:sz="4" w:space="0" w:color="auto"/>
              <w:bottom w:val="single" w:sz="4" w:space="0" w:color="BFBFBF"/>
              <w:right w:val="single" w:sz="4" w:space="0" w:color="auto"/>
            </w:tcBorders>
            <w:vAlign w:val="center"/>
          </w:tcPr>
          <w:p w:rsidR="002A0515" w:rsidRDefault="002A0515" w:rsidP="00A54BE4">
            <w:pPr>
              <w:pStyle w:val="TableText"/>
              <w:snapToGrid w:val="0"/>
              <w:rPr>
                <w:bCs/>
                <w:szCs w:val="17"/>
                <w:lang w:eastAsia="en-CA"/>
              </w:rPr>
            </w:pPr>
            <w:r>
              <w:rPr>
                <w:bCs/>
                <w:szCs w:val="17"/>
                <w:lang w:eastAsia="en-CA"/>
              </w:rPr>
              <w:t xml:space="preserve">(ii) Stressed </w:t>
            </w:r>
            <w:proofErr w:type="spellStart"/>
            <w:r>
              <w:rPr>
                <w:bCs/>
                <w:szCs w:val="17"/>
                <w:lang w:eastAsia="en-CA"/>
              </w:rPr>
              <w:t>VaR</w:t>
            </w:r>
            <w:proofErr w:type="spellEnd"/>
            <w:r>
              <w:rPr>
                <w:bCs/>
                <w:szCs w:val="17"/>
                <w:lang w:eastAsia="en-CA"/>
              </w:rPr>
              <w:t xml:space="preserve"> (after application of multiplication factor if applicable)</w:t>
            </w:r>
          </w:p>
        </w:tc>
        <w:tc>
          <w:tcPr>
            <w:tcW w:w="1573" w:type="dxa"/>
            <w:tcBorders>
              <w:top w:val="single" w:sz="4" w:space="0" w:color="BFBFBF"/>
              <w:left w:val="single" w:sz="4" w:space="0" w:color="auto"/>
              <w:bottom w:val="single" w:sz="4" w:space="0" w:color="BFBFBF"/>
              <w:right w:val="single" w:sz="4" w:space="0" w:color="auto"/>
            </w:tcBorders>
            <w:shd w:val="clear" w:color="auto" w:fill="BFBFBF"/>
            <w:vAlign w:val="center"/>
          </w:tcPr>
          <w:p w:rsidR="002A0515" w:rsidRDefault="002A0515" w:rsidP="00A54BE4">
            <w:pPr>
              <w:pStyle w:val="TableText"/>
              <w:snapToGrid w:val="0"/>
              <w:rPr>
                <w:szCs w:val="17"/>
                <w:lang w:eastAsia="en-CA"/>
              </w:rPr>
            </w:pPr>
            <w:r>
              <w:rPr>
                <w:szCs w:val="17"/>
                <w:lang w:eastAsia="en-CA"/>
              </w:rPr>
              <w:t> </w:t>
            </w:r>
          </w:p>
        </w:tc>
        <w:tc>
          <w:tcPr>
            <w:tcW w:w="1573" w:type="dxa"/>
            <w:tcBorders>
              <w:top w:val="single" w:sz="4" w:space="0" w:color="BFBFBF"/>
              <w:left w:val="single" w:sz="4" w:space="0" w:color="auto"/>
              <w:bottom w:val="single" w:sz="4" w:space="0" w:color="BFBFBF"/>
              <w:right w:val="single" w:sz="4" w:space="0" w:color="auto"/>
            </w:tcBorders>
            <w:vAlign w:val="center"/>
          </w:tcPr>
          <w:p w:rsidR="002A0515" w:rsidRDefault="002A0515" w:rsidP="00A54BE4">
            <w:pPr>
              <w:pStyle w:val="TableText"/>
              <w:snapToGrid w:val="0"/>
              <w:rPr>
                <w:szCs w:val="17"/>
                <w:lang w:eastAsia="en-CA"/>
              </w:rPr>
            </w:pPr>
            <w:r>
              <w:rPr>
                <w:szCs w:val="17"/>
                <w:lang w:eastAsia="en-CA"/>
              </w:rPr>
              <w:t> </w:t>
            </w:r>
          </w:p>
        </w:tc>
      </w:tr>
      <w:tr w:rsidR="002A0515" w:rsidTr="00A54BE4">
        <w:trPr>
          <w:trHeight w:val="315"/>
        </w:trPr>
        <w:tc>
          <w:tcPr>
            <w:tcW w:w="425" w:type="dxa"/>
            <w:tcBorders>
              <w:top w:val="single" w:sz="4" w:space="0" w:color="BFBFBF"/>
              <w:bottom w:val="single" w:sz="4" w:space="0" w:color="BFBFBF"/>
              <w:right w:val="single" w:sz="4" w:space="0" w:color="auto"/>
            </w:tcBorders>
          </w:tcPr>
          <w:p w:rsidR="002A0515" w:rsidRDefault="002A0515" w:rsidP="00A54BE4">
            <w:pPr>
              <w:pStyle w:val="TableText"/>
              <w:snapToGrid w:val="0"/>
              <w:rPr>
                <w:bCs/>
                <w:szCs w:val="17"/>
                <w:lang w:eastAsia="en-CA"/>
              </w:rPr>
            </w:pPr>
            <w:r>
              <w:rPr>
                <w:bCs/>
                <w:szCs w:val="17"/>
                <w:lang w:eastAsia="en-CA"/>
              </w:rPr>
              <w:t>3</w:t>
            </w:r>
          </w:p>
        </w:tc>
        <w:tc>
          <w:tcPr>
            <w:tcW w:w="5671" w:type="dxa"/>
            <w:tcBorders>
              <w:top w:val="single" w:sz="4" w:space="0" w:color="BFBFBF"/>
              <w:left w:val="single" w:sz="4" w:space="0" w:color="auto"/>
              <w:bottom w:val="single" w:sz="4" w:space="0" w:color="BFBFBF"/>
              <w:right w:val="single" w:sz="4" w:space="0" w:color="auto"/>
            </w:tcBorders>
            <w:vAlign w:val="center"/>
          </w:tcPr>
          <w:p w:rsidR="002A0515" w:rsidRDefault="002A0515" w:rsidP="00A54BE4">
            <w:pPr>
              <w:pStyle w:val="TableText"/>
              <w:snapToGrid w:val="0"/>
              <w:rPr>
                <w:bCs/>
                <w:szCs w:val="17"/>
                <w:lang w:eastAsia="en-CA"/>
              </w:rPr>
            </w:pPr>
            <w:r>
              <w:rPr>
                <w:bCs/>
                <w:szCs w:val="17"/>
                <w:lang w:eastAsia="en-CA"/>
              </w:rPr>
              <w:t>Netting sets for which CVA capital charge is calculated by the standardized CVA method</w:t>
            </w:r>
          </w:p>
        </w:tc>
        <w:tc>
          <w:tcPr>
            <w:tcW w:w="1573" w:type="dxa"/>
            <w:tcBorders>
              <w:top w:val="single" w:sz="4" w:space="0" w:color="BFBFBF"/>
              <w:left w:val="single" w:sz="4" w:space="0" w:color="auto"/>
              <w:bottom w:val="single" w:sz="4" w:space="0" w:color="BFBFBF"/>
              <w:right w:val="single" w:sz="4" w:space="0" w:color="auto"/>
            </w:tcBorders>
            <w:vAlign w:val="center"/>
          </w:tcPr>
          <w:p w:rsidR="002A0515" w:rsidRDefault="002A0515" w:rsidP="00A54BE4">
            <w:pPr>
              <w:pStyle w:val="TableText"/>
              <w:snapToGrid w:val="0"/>
              <w:rPr>
                <w:szCs w:val="17"/>
                <w:lang w:eastAsia="en-CA"/>
              </w:rPr>
            </w:pPr>
            <w:r>
              <w:rPr>
                <w:szCs w:val="17"/>
                <w:lang w:eastAsia="en-CA"/>
              </w:rPr>
              <w:t> </w:t>
            </w:r>
          </w:p>
        </w:tc>
        <w:tc>
          <w:tcPr>
            <w:tcW w:w="1573" w:type="dxa"/>
            <w:tcBorders>
              <w:top w:val="single" w:sz="4" w:space="0" w:color="BFBFBF"/>
              <w:left w:val="single" w:sz="4" w:space="0" w:color="auto"/>
              <w:bottom w:val="single" w:sz="4" w:space="0" w:color="BFBFBF"/>
              <w:right w:val="single" w:sz="4" w:space="0" w:color="auto"/>
            </w:tcBorders>
            <w:vAlign w:val="center"/>
          </w:tcPr>
          <w:p w:rsidR="002A0515" w:rsidRDefault="002A0515" w:rsidP="00A54BE4">
            <w:pPr>
              <w:pStyle w:val="TableText"/>
              <w:snapToGrid w:val="0"/>
              <w:rPr>
                <w:szCs w:val="17"/>
                <w:lang w:eastAsia="en-CA"/>
              </w:rPr>
            </w:pPr>
            <w:r>
              <w:rPr>
                <w:szCs w:val="17"/>
                <w:lang w:eastAsia="en-CA"/>
              </w:rPr>
              <w:t> </w:t>
            </w:r>
          </w:p>
        </w:tc>
      </w:tr>
      <w:tr w:rsidR="002A0515" w:rsidTr="00A54BE4">
        <w:trPr>
          <w:trHeight w:val="315"/>
        </w:trPr>
        <w:tc>
          <w:tcPr>
            <w:tcW w:w="425" w:type="dxa"/>
            <w:tcBorders>
              <w:top w:val="single" w:sz="4" w:space="0" w:color="BFBFBF"/>
              <w:bottom w:val="single" w:sz="4" w:space="0" w:color="auto"/>
              <w:right w:val="single" w:sz="4" w:space="0" w:color="auto"/>
            </w:tcBorders>
          </w:tcPr>
          <w:p w:rsidR="002A0515" w:rsidRDefault="002A0515" w:rsidP="00A54BE4">
            <w:pPr>
              <w:pStyle w:val="TableText"/>
              <w:snapToGrid w:val="0"/>
              <w:rPr>
                <w:bCs/>
                <w:szCs w:val="17"/>
                <w:lang w:eastAsia="en-CA"/>
              </w:rPr>
            </w:pPr>
            <w:r>
              <w:rPr>
                <w:bCs/>
                <w:szCs w:val="17"/>
                <w:lang w:eastAsia="en-CA"/>
              </w:rPr>
              <w:t>4</w:t>
            </w:r>
          </w:p>
        </w:tc>
        <w:tc>
          <w:tcPr>
            <w:tcW w:w="5671" w:type="dxa"/>
            <w:tcBorders>
              <w:top w:val="single" w:sz="4" w:space="0" w:color="BFBFBF"/>
              <w:left w:val="single" w:sz="4" w:space="0" w:color="auto"/>
              <w:bottom w:val="single" w:sz="4" w:space="0" w:color="auto"/>
              <w:right w:val="single" w:sz="4" w:space="0" w:color="auto"/>
            </w:tcBorders>
            <w:vAlign w:val="center"/>
          </w:tcPr>
          <w:p w:rsidR="002A0515" w:rsidRDefault="002A0515" w:rsidP="00A54BE4">
            <w:pPr>
              <w:pStyle w:val="TableText"/>
              <w:snapToGrid w:val="0"/>
              <w:rPr>
                <w:bCs/>
                <w:szCs w:val="17"/>
                <w:lang w:eastAsia="en-CA"/>
              </w:rPr>
            </w:pPr>
            <w:r>
              <w:rPr>
                <w:bCs/>
                <w:szCs w:val="17"/>
                <w:lang w:eastAsia="en-CA"/>
              </w:rPr>
              <w:t>Total</w:t>
            </w:r>
          </w:p>
        </w:tc>
        <w:tc>
          <w:tcPr>
            <w:tcW w:w="1573" w:type="dxa"/>
            <w:tcBorders>
              <w:top w:val="single" w:sz="4" w:space="0" w:color="BFBFBF"/>
              <w:left w:val="single" w:sz="4" w:space="0" w:color="auto"/>
              <w:bottom w:val="single" w:sz="4" w:space="0" w:color="auto"/>
              <w:right w:val="single" w:sz="4" w:space="0" w:color="auto"/>
            </w:tcBorders>
            <w:vAlign w:val="center"/>
          </w:tcPr>
          <w:p w:rsidR="002A0515" w:rsidRDefault="002A0515" w:rsidP="00A54BE4">
            <w:pPr>
              <w:pStyle w:val="TableText"/>
              <w:snapToGrid w:val="0"/>
              <w:rPr>
                <w:szCs w:val="17"/>
                <w:lang w:eastAsia="en-CA"/>
              </w:rPr>
            </w:pPr>
            <w:r>
              <w:rPr>
                <w:szCs w:val="17"/>
                <w:lang w:eastAsia="en-CA"/>
              </w:rPr>
              <w:t> </w:t>
            </w:r>
          </w:p>
        </w:tc>
        <w:tc>
          <w:tcPr>
            <w:tcW w:w="1573" w:type="dxa"/>
            <w:tcBorders>
              <w:top w:val="single" w:sz="4" w:space="0" w:color="BFBFBF"/>
              <w:left w:val="single" w:sz="4" w:space="0" w:color="auto"/>
              <w:bottom w:val="single" w:sz="4" w:space="0" w:color="auto"/>
              <w:right w:val="single" w:sz="4" w:space="0" w:color="auto"/>
            </w:tcBorders>
            <w:vAlign w:val="center"/>
          </w:tcPr>
          <w:p w:rsidR="002A0515" w:rsidRDefault="002A0515" w:rsidP="00A54BE4">
            <w:pPr>
              <w:pStyle w:val="TableText"/>
              <w:snapToGrid w:val="0"/>
              <w:rPr>
                <w:szCs w:val="17"/>
                <w:lang w:eastAsia="en-CA"/>
              </w:rPr>
            </w:pPr>
            <w:r>
              <w:rPr>
                <w:szCs w:val="17"/>
                <w:lang w:eastAsia="en-CA"/>
              </w:rPr>
              <w:t> </w:t>
            </w:r>
          </w:p>
        </w:tc>
      </w:tr>
    </w:tbl>
    <w:p w:rsidR="002A0515" w:rsidRDefault="002A0515" w:rsidP="002A0515">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789"/>
      </w:tblGrid>
      <w:tr w:rsidR="002A0515" w:rsidTr="00A54BE4">
        <w:trPr>
          <w:tblHeader/>
        </w:trPr>
        <w:tc>
          <w:tcPr>
            <w:tcW w:w="9214" w:type="dxa"/>
            <w:gridSpan w:val="2"/>
            <w:shd w:val="clear" w:color="auto" w:fill="BFBFBF"/>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Explanatory Note</w:t>
            </w:r>
          </w:p>
        </w:tc>
      </w:tr>
      <w:tr w:rsidR="002A0515" w:rsidTr="00A54BE4">
        <w:trPr>
          <w:trHeight w:val="153"/>
        </w:trPr>
        <w:tc>
          <w:tcPr>
            <w:tcW w:w="9214" w:type="dxa"/>
            <w:gridSpan w:val="2"/>
            <w:shd w:val="clear" w:color="auto" w:fill="F2F2F2"/>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Columns</w:t>
            </w:r>
          </w:p>
        </w:tc>
      </w:tr>
      <w:tr w:rsidR="002A0515" w:rsidTr="00A54BE4">
        <w:tc>
          <w:tcPr>
            <w:tcW w:w="425" w:type="dxa"/>
          </w:tcPr>
          <w:p w:rsidR="002A0515" w:rsidRDefault="002A0515" w:rsidP="00A54BE4">
            <w:pPr>
              <w:pStyle w:val="ListParagraph"/>
              <w:keepLines/>
              <w:spacing w:before="20" w:after="20"/>
              <w:ind w:leftChars="0" w:left="0" w:rightChars="-54" w:right="-108"/>
              <w:rPr>
                <w:rFonts w:cs="Segoe UI"/>
                <w:sz w:val="17"/>
                <w:szCs w:val="17"/>
                <w:lang w:eastAsia="en-GB"/>
              </w:rPr>
            </w:pPr>
            <w:r>
              <w:rPr>
                <w:rFonts w:cs="Segoe UI"/>
                <w:sz w:val="17"/>
                <w:szCs w:val="17"/>
                <w:lang w:eastAsia="en-GB"/>
              </w:rPr>
              <w:t>(a)</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rPr>
            </w:pPr>
            <w:r>
              <w:rPr>
                <w:i/>
                <w:sz w:val="17"/>
                <w:szCs w:val="17"/>
              </w:rPr>
              <w:t>EAD post CRM</w:t>
            </w:r>
            <w:r>
              <w:rPr>
                <w:sz w:val="17"/>
                <w:szCs w:val="17"/>
              </w:rPr>
              <w:t xml:space="preserve">: this column refers to the outstanding default risk exposure, or default risk exposure, of the netting sets calculated in accordance with the BCR.  For any SFT within a netting set that are subject to section 226MJ of the BCR where the </w:t>
            </w:r>
            <w:r w:rsidRPr="009411E7">
              <w:rPr>
                <w:sz w:val="17"/>
                <w:szCs w:val="17"/>
              </w:rPr>
              <w:t>CRM effect of any recognized collateral received under the SFTs is taken into account by using the comprehensive approach under Part 4</w:t>
            </w:r>
            <w:r>
              <w:rPr>
                <w:sz w:val="17"/>
                <w:szCs w:val="17"/>
              </w:rPr>
              <w:t xml:space="preserve"> </w:t>
            </w:r>
            <w:r w:rsidRPr="006F4B7A">
              <w:rPr>
                <w:sz w:val="17"/>
                <w:szCs w:val="17"/>
              </w:rPr>
              <w:t>of the BCR</w:t>
            </w:r>
            <w:r>
              <w:rPr>
                <w:sz w:val="17"/>
                <w:szCs w:val="17"/>
              </w:rPr>
              <w:t xml:space="preserve">, the amount reported should be the </w:t>
            </w:r>
            <w:r w:rsidRPr="009411E7">
              <w:rPr>
                <w:sz w:val="17"/>
                <w:szCs w:val="17"/>
              </w:rPr>
              <w:t>net credit exposure calculated in accordance with section 88 of the BCR</w:t>
            </w:r>
            <w:r w:rsidRPr="009411E7" w:rsidDel="009411E7">
              <w:rPr>
                <w:sz w:val="17"/>
                <w:szCs w:val="17"/>
              </w:rPr>
              <w:t xml:space="preserve"> </w:t>
            </w:r>
            <w:r>
              <w:rPr>
                <w:sz w:val="17"/>
                <w:szCs w:val="17"/>
              </w:rPr>
              <w:t>.</w:t>
            </w:r>
          </w:p>
        </w:tc>
      </w:tr>
      <w:tr w:rsidR="002A0515" w:rsidTr="00A54BE4">
        <w:trPr>
          <w:trHeight w:val="373"/>
        </w:trPr>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lang w:eastAsia="en-GB"/>
              </w:rPr>
            </w:pPr>
            <w:r>
              <w:rPr>
                <w:rFonts w:cs="Segoe UI"/>
                <w:sz w:val="17"/>
                <w:szCs w:val="17"/>
                <w:lang w:eastAsia="en-GB"/>
              </w:rPr>
              <w:t>(b)</w:t>
            </w:r>
          </w:p>
        </w:tc>
        <w:tc>
          <w:tcPr>
            <w:tcW w:w="8789" w:type="dxa"/>
          </w:tcPr>
          <w:p w:rsidR="002A0515" w:rsidRDefault="002A0515" w:rsidP="00A54BE4">
            <w:pPr>
              <w:pStyle w:val="TableNote"/>
              <w:keepNext/>
              <w:spacing w:before="40" w:after="40"/>
              <w:rPr>
                <w:sz w:val="17"/>
                <w:szCs w:val="17"/>
              </w:rPr>
            </w:pPr>
            <w:r>
              <w:rPr>
                <w:rFonts w:cs="Segoe UI"/>
                <w:i/>
                <w:sz w:val="17"/>
                <w:szCs w:val="17"/>
                <w:lang w:eastAsia="en-GB"/>
              </w:rPr>
              <w:t>RWA</w:t>
            </w:r>
            <w:r>
              <w:rPr>
                <w:rFonts w:cs="Segoe UI"/>
                <w:sz w:val="17"/>
                <w:szCs w:val="17"/>
                <w:lang w:eastAsia="en-GB"/>
              </w:rPr>
              <w:t xml:space="preserve">: </w:t>
            </w:r>
            <w:r>
              <w:rPr>
                <w:sz w:val="17"/>
                <w:szCs w:val="17"/>
              </w:rPr>
              <w:t xml:space="preserve">this column refers to the CVA risk-weighted amount. </w:t>
            </w:r>
          </w:p>
        </w:tc>
      </w:tr>
      <w:tr w:rsidR="002A0515" w:rsidTr="00A54BE4">
        <w:tc>
          <w:tcPr>
            <w:tcW w:w="9214" w:type="dxa"/>
            <w:gridSpan w:val="2"/>
            <w:shd w:val="clear" w:color="auto" w:fill="F2F2F2"/>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Rows</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rFonts w:cs="Segoe UI"/>
                <w:sz w:val="17"/>
                <w:szCs w:val="17"/>
              </w:rPr>
            </w:pPr>
            <w:r>
              <w:rPr>
                <w:bCs/>
                <w:i/>
                <w:sz w:val="17"/>
                <w:szCs w:val="17"/>
                <w:lang w:eastAsia="en-CA"/>
              </w:rPr>
              <w:t>Netting sets for which CVA capital charge is calculated by the advanced CVA method</w:t>
            </w:r>
            <w:r>
              <w:rPr>
                <w:rFonts w:cs="Segoe UI"/>
                <w:sz w:val="17"/>
                <w:szCs w:val="17"/>
              </w:rPr>
              <w:t>: the relevant amounts of the netting sets subject to the advanced CVA method according to Part 6A of the BCR.</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1</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rFonts w:cs="Segoe UI"/>
                <w:sz w:val="17"/>
                <w:szCs w:val="17"/>
              </w:rPr>
            </w:pPr>
            <w:proofErr w:type="spellStart"/>
            <w:r>
              <w:rPr>
                <w:bCs/>
                <w:i/>
                <w:sz w:val="17"/>
                <w:szCs w:val="17"/>
                <w:lang w:eastAsia="en-CA"/>
              </w:rPr>
              <w:t>VaR</w:t>
            </w:r>
            <w:proofErr w:type="spellEnd"/>
            <w:r>
              <w:rPr>
                <w:bCs/>
                <w:i/>
                <w:sz w:val="17"/>
                <w:szCs w:val="17"/>
                <w:lang w:eastAsia="en-CA"/>
              </w:rPr>
              <w:t xml:space="preserve"> (after application of multiplication factor if applicable)</w:t>
            </w:r>
            <w:r>
              <w:rPr>
                <w:bCs/>
                <w:sz w:val="17"/>
                <w:szCs w:val="17"/>
                <w:lang w:eastAsia="en-CA"/>
              </w:rPr>
              <w:t xml:space="preserve">: the product of the </w:t>
            </w:r>
            <w:proofErr w:type="spellStart"/>
            <w:r>
              <w:rPr>
                <w:bCs/>
                <w:sz w:val="17"/>
                <w:szCs w:val="17"/>
                <w:lang w:eastAsia="en-CA"/>
              </w:rPr>
              <w:t>VaR</w:t>
            </w:r>
            <w:proofErr w:type="spellEnd"/>
            <w:r>
              <w:rPr>
                <w:bCs/>
                <w:sz w:val="17"/>
                <w:szCs w:val="17"/>
                <w:lang w:eastAsia="en-CA"/>
              </w:rPr>
              <w:t xml:space="preserve"> determined in accordance with </w:t>
            </w:r>
            <w:r>
              <w:rPr>
                <w:rFonts w:cs="Segoe UI"/>
                <w:sz w:val="17"/>
                <w:szCs w:val="17"/>
              </w:rPr>
              <w:t>Part 6A</w:t>
            </w:r>
            <w:r>
              <w:rPr>
                <w:bCs/>
                <w:sz w:val="17"/>
                <w:szCs w:val="17"/>
                <w:lang w:eastAsia="en-CA"/>
              </w:rPr>
              <w:t xml:space="preserve"> of the BCR and 12.5. </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2</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rFonts w:cs="Segoe UI"/>
                <w:sz w:val="17"/>
                <w:szCs w:val="17"/>
              </w:rPr>
            </w:pPr>
            <w:r>
              <w:rPr>
                <w:bCs/>
                <w:i/>
                <w:sz w:val="17"/>
                <w:szCs w:val="17"/>
                <w:lang w:eastAsia="en-CA"/>
              </w:rPr>
              <w:t xml:space="preserve">Stressed </w:t>
            </w:r>
            <w:proofErr w:type="spellStart"/>
            <w:r>
              <w:rPr>
                <w:bCs/>
                <w:i/>
                <w:sz w:val="17"/>
                <w:szCs w:val="17"/>
                <w:lang w:eastAsia="en-CA"/>
              </w:rPr>
              <w:t>VaR</w:t>
            </w:r>
            <w:proofErr w:type="spellEnd"/>
            <w:r>
              <w:rPr>
                <w:bCs/>
                <w:i/>
                <w:sz w:val="17"/>
                <w:szCs w:val="17"/>
                <w:lang w:eastAsia="en-CA"/>
              </w:rPr>
              <w:t xml:space="preserve"> (after application of multiplication factor if applicable)</w:t>
            </w:r>
            <w:r>
              <w:rPr>
                <w:bCs/>
                <w:sz w:val="17"/>
                <w:szCs w:val="17"/>
                <w:lang w:eastAsia="en-CA"/>
              </w:rPr>
              <w:t xml:space="preserve">: the product of the stressed </w:t>
            </w:r>
            <w:proofErr w:type="spellStart"/>
            <w:r>
              <w:rPr>
                <w:bCs/>
                <w:sz w:val="17"/>
                <w:szCs w:val="17"/>
                <w:lang w:eastAsia="en-CA"/>
              </w:rPr>
              <w:t>VaR</w:t>
            </w:r>
            <w:proofErr w:type="spellEnd"/>
            <w:r>
              <w:rPr>
                <w:bCs/>
                <w:sz w:val="17"/>
                <w:szCs w:val="17"/>
                <w:lang w:eastAsia="en-CA"/>
              </w:rPr>
              <w:t xml:space="preserve"> determined in accordance with </w:t>
            </w:r>
            <w:r>
              <w:rPr>
                <w:rFonts w:cs="Segoe UI"/>
                <w:sz w:val="17"/>
                <w:szCs w:val="17"/>
              </w:rPr>
              <w:t>Part 6A</w:t>
            </w:r>
            <w:r>
              <w:rPr>
                <w:bCs/>
                <w:sz w:val="17"/>
                <w:szCs w:val="17"/>
                <w:lang w:eastAsia="en-CA"/>
              </w:rPr>
              <w:t xml:space="preserve"> of the BCR and 12.5. </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3</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rFonts w:cs="Segoe UI"/>
                <w:sz w:val="17"/>
                <w:szCs w:val="17"/>
              </w:rPr>
            </w:pPr>
            <w:r>
              <w:rPr>
                <w:i/>
                <w:sz w:val="17"/>
                <w:szCs w:val="17"/>
              </w:rPr>
              <w:t>Netting sets for which CVA capital charge is calculated by the standardized CVA method</w:t>
            </w:r>
            <w:r>
              <w:rPr>
                <w:sz w:val="17"/>
                <w:szCs w:val="17"/>
              </w:rPr>
              <w:t xml:space="preserve">: </w:t>
            </w:r>
            <w:r>
              <w:rPr>
                <w:rFonts w:cs="Segoe UI"/>
                <w:sz w:val="17"/>
                <w:szCs w:val="17"/>
              </w:rPr>
              <w:t>the relevant amounts of the netting sets subject to the standardized CVA method according to Part 6A of the BCR.</w:t>
            </w:r>
          </w:p>
        </w:tc>
      </w:tr>
      <w:tr w:rsidR="002A0515" w:rsidTr="00A54BE4">
        <w:tc>
          <w:tcPr>
            <w:tcW w:w="425" w:type="dxa"/>
          </w:tcPr>
          <w:p w:rsidR="002A0515" w:rsidRDefault="002A0515" w:rsidP="00A54BE4">
            <w:pPr>
              <w:keepLines/>
              <w:widowControl w:val="0"/>
              <w:tabs>
                <w:tab w:val="left" w:pos="150"/>
                <w:tab w:val="left" w:pos="397"/>
                <w:tab w:val="left" w:pos="794"/>
                <w:tab w:val="left" w:pos="1191"/>
              </w:tabs>
              <w:spacing w:before="20" w:after="20"/>
              <w:rPr>
                <w:rFonts w:cs="Segoe UI"/>
                <w:sz w:val="17"/>
                <w:szCs w:val="17"/>
              </w:rPr>
            </w:pPr>
            <w:r>
              <w:rPr>
                <w:rFonts w:cs="Segoe UI"/>
                <w:sz w:val="17"/>
                <w:szCs w:val="17"/>
              </w:rPr>
              <w:t>4</w:t>
            </w:r>
          </w:p>
        </w:tc>
        <w:tc>
          <w:tcPr>
            <w:tcW w:w="8789" w:type="dxa"/>
          </w:tcPr>
          <w:p w:rsidR="002A0515" w:rsidRDefault="002A0515" w:rsidP="00A54BE4">
            <w:pPr>
              <w:keepLines/>
              <w:widowControl w:val="0"/>
              <w:tabs>
                <w:tab w:val="left" w:pos="150"/>
                <w:tab w:val="left" w:pos="397"/>
                <w:tab w:val="left" w:pos="794"/>
                <w:tab w:val="left" w:pos="1191"/>
              </w:tabs>
              <w:spacing w:before="20" w:after="20"/>
              <w:jc w:val="both"/>
              <w:rPr>
                <w:sz w:val="17"/>
                <w:szCs w:val="17"/>
              </w:rPr>
            </w:pPr>
            <w:r>
              <w:rPr>
                <w:bCs/>
                <w:i/>
                <w:sz w:val="17"/>
                <w:szCs w:val="17"/>
                <w:lang w:eastAsia="en-CA"/>
              </w:rPr>
              <w:t>Total</w:t>
            </w:r>
            <w:r>
              <w:rPr>
                <w:bCs/>
                <w:sz w:val="17"/>
                <w:szCs w:val="17"/>
                <w:lang w:eastAsia="en-CA"/>
              </w:rPr>
              <w:t>: for each of columns (a) and (b), this is equal to the sum of values in row “</w:t>
            </w:r>
            <w:r w:rsidRPr="00726580">
              <w:rPr>
                <w:bCs/>
                <w:sz w:val="17"/>
                <w:szCs w:val="17"/>
                <w:lang w:eastAsia="en-CA"/>
              </w:rPr>
              <w:t>Netting sets for which CVA capital charge is calculated by the advanced CVA method</w:t>
            </w:r>
            <w:r>
              <w:rPr>
                <w:bCs/>
                <w:sz w:val="17"/>
                <w:szCs w:val="17"/>
                <w:lang w:eastAsia="en-CA"/>
              </w:rPr>
              <w:t>”</w:t>
            </w:r>
            <w:r w:rsidRPr="00726580">
              <w:rPr>
                <w:bCs/>
                <w:sz w:val="17"/>
                <w:szCs w:val="17"/>
                <w:lang w:eastAsia="en-CA"/>
              </w:rPr>
              <w:t xml:space="preserve"> </w:t>
            </w:r>
            <w:r>
              <w:rPr>
                <w:bCs/>
                <w:sz w:val="17"/>
                <w:szCs w:val="17"/>
                <w:lang w:eastAsia="en-CA"/>
              </w:rPr>
              <w:t>and row 3 of the columns concerned.</w:t>
            </w:r>
          </w:p>
        </w:tc>
      </w:tr>
    </w:tbl>
    <w:p w:rsidR="002A0515" w:rsidRDefault="002A0515" w:rsidP="002A0515">
      <w:pPr>
        <w:spacing w:before="40" w:after="40"/>
        <w:jc w:val="both"/>
        <w:rPr>
          <w:sz w:val="22"/>
        </w:rPr>
        <w:sectPr w:rsidR="002A0515">
          <w:footerReference w:type="default" r:id="rId20"/>
          <w:pgSz w:w="11906" w:h="16838" w:code="9"/>
          <w:pgMar w:top="1440" w:right="1797" w:bottom="1440" w:left="1797" w:header="851" w:footer="737" w:gutter="0"/>
          <w:cols w:space="425"/>
          <w:docGrid w:type="linesAndChars" w:linePitch="360"/>
        </w:sectPr>
      </w:pPr>
    </w:p>
    <w:tbl>
      <w:tblPr>
        <w:tblW w:w="9498" w:type="dxa"/>
        <w:tblInd w:w="-743"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gridCol w:w="256"/>
      </w:tblGrid>
      <w:tr w:rsidR="002A0515" w:rsidTr="00A54BE4">
        <w:trPr>
          <w:gridAfter w:val="1"/>
          <w:wAfter w:w="256" w:type="dxa"/>
        </w:trPr>
        <w:tc>
          <w:tcPr>
            <w:tcW w:w="9242" w:type="dxa"/>
            <w:gridSpan w:val="2"/>
            <w:tcBorders>
              <w:top w:val="nil"/>
            </w:tcBorders>
          </w:tcPr>
          <w:p w:rsidR="002A0515" w:rsidRDefault="002A0515" w:rsidP="00A54BE4">
            <w:pPr>
              <w:spacing w:before="40" w:after="40"/>
              <w:jc w:val="both"/>
              <w:rPr>
                <w:noProof/>
                <w:sz w:val="17"/>
                <w:lang w:eastAsia="en-GB"/>
              </w:rPr>
            </w:pPr>
            <w:r>
              <w:rPr>
                <w:sz w:val="22"/>
              </w:rPr>
              <w:t>Template CCR5: Composition of collateral for counterparty default risk exposures (including those for contracts or transactions cleared through CCPs)</w:t>
            </w:r>
          </w:p>
        </w:tc>
      </w:tr>
      <w:tr w:rsidR="002A0515" w:rsidTr="00A54BE4">
        <w:tc>
          <w:tcPr>
            <w:tcW w:w="2008" w:type="dxa"/>
          </w:tcPr>
          <w:p w:rsidR="002A0515" w:rsidRDefault="002A0515" w:rsidP="00A54BE4">
            <w:pPr>
              <w:spacing w:before="40" w:after="40"/>
              <w:rPr>
                <w:noProof/>
                <w:sz w:val="17"/>
                <w:lang w:eastAsia="en-GB"/>
              </w:rPr>
            </w:pPr>
            <w:r>
              <w:rPr>
                <w:b/>
                <w:sz w:val="17"/>
                <w:lang w:eastAsia="en-GB"/>
              </w:rPr>
              <w:t>Purpose:</w:t>
            </w:r>
            <w:r>
              <w:rPr>
                <w:sz w:val="17"/>
                <w:lang w:eastAsia="en-GB"/>
              </w:rPr>
              <w:t xml:space="preserve"> </w:t>
            </w:r>
          </w:p>
        </w:tc>
        <w:tc>
          <w:tcPr>
            <w:tcW w:w="7490" w:type="dxa"/>
            <w:gridSpan w:val="2"/>
          </w:tcPr>
          <w:p w:rsidR="002A0515" w:rsidRDefault="002A0515" w:rsidP="00A54BE4">
            <w:pPr>
              <w:pStyle w:val="TableText"/>
              <w:jc w:val="both"/>
              <w:rPr>
                <w:lang w:eastAsia="en-GB"/>
              </w:rPr>
            </w:pPr>
            <w:r>
              <w:rPr>
                <w:lang w:eastAsia="en-GB"/>
              </w:rPr>
              <w:t xml:space="preserve">To provide a breakdown of all types of collateral posted or recognized </w:t>
            </w:r>
            <w:r>
              <w:rPr>
                <w:rFonts w:eastAsia="新細明體"/>
                <w:szCs w:val="17"/>
                <w:lang w:eastAsia="en-GB"/>
              </w:rPr>
              <w:t>collateral</w:t>
            </w:r>
            <w:r>
              <w:rPr>
                <w:lang w:eastAsia="en-GB"/>
              </w:rPr>
              <w:t xml:space="preserve"> received to support or reduce the exposures to counterparty default risk exposures in respect of derivative contracts or SFTs entered into, including contracts or transactions cleared through a CCP.</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Scope of application: </w:t>
            </w:r>
          </w:p>
        </w:tc>
        <w:tc>
          <w:tcPr>
            <w:tcW w:w="7490" w:type="dxa"/>
            <w:gridSpan w:val="2"/>
          </w:tcPr>
          <w:p w:rsidR="002A0515" w:rsidRDefault="002A0515" w:rsidP="00A54BE4">
            <w:pPr>
              <w:spacing w:before="40" w:after="40"/>
              <w:jc w:val="both"/>
              <w:rPr>
                <w:rFonts w:eastAsia="新細明體"/>
                <w:b/>
                <w:sz w:val="17"/>
                <w:lang w:eastAsia="en-GB"/>
              </w:rPr>
            </w:pPr>
            <w:r>
              <w:rPr>
                <w:rFonts w:eastAsia="新細明體"/>
                <w:sz w:val="17"/>
                <w:lang w:eastAsia="en-GB"/>
              </w:rPr>
              <w:t>The template is mandatory for all AIs</w:t>
            </w:r>
            <w:r>
              <w:t xml:space="preserve"> </w:t>
            </w:r>
            <w:r>
              <w:rPr>
                <w:rFonts w:eastAsia="新細明體"/>
                <w:sz w:val="17"/>
                <w:lang w:eastAsia="en-GB"/>
              </w:rPr>
              <w:t>incorporated in Hong Kong.</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Content: </w:t>
            </w:r>
          </w:p>
        </w:tc>
        <w:tc>
          <w:tcPr>
            <w:tcW w:w="7490" w:type="dxa"/>
            <w:gridSpan w:val="2"/>
          </w:tcPr>
          <w:p w:rsidR="002A0515" w:rsidRDefault="002A0515" w:rsidP="00A54BE4">
            <w:pPr>
              <w:spacing w:before="40" w:after="40"/>
              <w:jc w:val="both"/>
              <w:rPr>
                <w:rFonts w:eastAsia="新細明體"/>
                <w:b/>
                <w:sz w:val="17"/>
                <w:szCs w:val="17"/>
                <w:lang w:eastAsia="en-GB"/>
              </w:rPr>
            </w:pPr>
            <w:r>
              <w:rPr>
                <w:rFonts w:cs="Segoe UI"/>
                <w:sz w:val="17"/>
                <w:szCs w:val="17"/>
                <w:lang w:eastAsia="en-GB"/>
              </w:rPr>
              <w:t>Carrying values of collateral posted</w:t>
            </w:r>
            <w:r>
              <w:rPr>
                <w:rFonts w:eastAsia="新細明體"/>
                <w:sz w:val="17"/>
                <w:szCs w:val="17"/>
                <w:lang w:eastAsia="en-GB"/>
              </w:rPr>
              <w:t xml:space="preserve"> and recognized collateral received in the context of derivative contracts or SFTs, irrespective of whether the contracts or transactions are cleared through a CCP and whether the</w:t>
            </w:r>
            <w:r>
              <w:rPr>
                <w:sz w:val="17"/>
                <w:szCs w:val="17"/>
                <w:lang w:eastAsia="en-GB"/>
              </w:rPr>
              <w:t xml:space="preserve"> </w:t>
            </w:r>
            <w:r>
              <w:rPr>
                <w:rFonts w:eastAsia="新細明體"/>
                <w:sz w:val="17"/>
                <w:szCs w:val="17"/>
                <w:lang w:eastAsia="en-GB"/>
              </w:rPr>
              <w:t>collateral is posted to a CCP.</w:t>
            </w:r>
          </w:p>
        </w:tc>
      </w:tr>
      <w:tr w:rsidR="002A0515" w:rsidTr="00A54BE4">
        <w:tc>
          <w:tcPr>
            <w:tcW w:w="2008" w:type="dxa"/>
          </w:tcPr>
          <w:p w:rsidR="002A0515" w:rsidRDefault="002A0515" w:rsidP="00A54BE4">
            <w:pPr>
              <w:spacing w:before="40" w:after="40"/>
              <w:rPr>
                <w:sz w:val="17"/>
                <w:lang w:eastAsia="en-GB"/>
              </w:rPr>
            </w:pPr>
            <w:r>
              <w:rPr>
                <w:b/>
                <w:sz w:val="17"/>
                <w:lang w:eastAsia="en-GB"/>
              </w:rPr>
              <w:t>Frequency:</w:t>
            </w:r>
            <w:r>
              <w:rPr>
                <w:sz w:val="17"/>
                <w:lang w:eastAsia="en-GB"/>
              </w:rPr>
              <w:t xml:space="preserve"> </w:t>
            </w:r>
          </w:p>
        </w:tc>
        <w:tc>
          <w:tcPr>
            <w:tcW w:w="7490" w:type="dxa"/>
            <w:gridSpan w:val="2"/>
          </w:tcPr>
          <w:p w:rsidR="002A0515" w:rsidRDefault="002A0515" w:rsidP="00A54BE4">
            <w:pPr>
              <w:pStyle w:val="TableText"/>
              <w:jc w:val="both"/>
              <w:rPr>
                <w:lang w:eastAsia="en-GB"/>
              </w:rPr>
            </w:pPr>
            <w:r>
              <w:rPr>
                <w:lang w:eastAsia="en-GB"/>
              </w:rPr>
              <w:t>Semi-annual.</w:t>
            </w:r>
          </w:p>
        </w:tc>
      </w:tr>
      <w:tr w:rsidR="002A0515" w:rsidTr="00A54BE4">
        <w:tc>
          <w:tcPr>
            <w:tcW w:w="2008" w:type="dxa"/>
          </w:tcPr>
          <w:p w:rsidR="002A0515" w:rsidRDefault="002A0515" w:rsidP="00A54BE4">
            <w:pPr>
              <w:spacing w:before="40" w:after="40"/>
              <w:rPr>
                <w:sz w:val="17"/>
                <w:lang w:eastAsia="en-GB"/>
              </w:rPr>
            </w:pPr>
            <w:r>
              <w:rPr>
                <w:b/>
                <w:sz w:val="17"/>
                <w:lang w:eastAsia="en-GB"/>
              </w:rPr>
              <w:t>Format:</w:t>
            </w:r>
            <w:r>
              <w:rPr>
                <w:sz w:val="17"/>
                <w:lang w:eastAsia="en-GB"/>
              </w:rPr>
              <w:t xml:space="preserve"> </w:t>
            </w:r>
          </w:p>
        </w:tc>
        <w:tc>
          <w:tcPr>
            <w:tcW w:w="7490" w:type="dxa"/>
            <w:gridSpan w:val="2"/>
          </w:tcPr>
          <w:p w:rsidR="002A0515" w:rsidRDefault="002A0515" w:rsidP="00A54BE4">
            <w:pPr>
              <w:pStyle w:val="TableText"/>
              <w:jc w:val="both"/>
              <w:rPr>
                <w:lang w:eastAsia="en-GB"/>
              </w:rPr>
            </w:pPr>
            <w:r>
              <w:rPr>
                <w:lang w:eastAsia="en-GB"/>
              </w:rPr>
              <w:t>Flexible.  The columns are fixed but the rows are flexible where the categories of collateral which may be recognized are those specified under Division 5 of Part 4, Division 5 of Part 5, or Division 10 of Part 6, of the BCR, as the case requires.</w:t>
            </w:r>
          </w:p>
        </w:tc>
      </w:tr>
      <w:tr w:rsidR="002A0515" w:rsidTr="00A54BE4">
        <w:tc>
          <w:tcPr>
            <w:tcW w:w="2008" w:type="dxa"/>
          </w:tcPr>
          <w:p w:rsidR="002A0515" w:rsidRDefault="002A0515" w:rsidP="00A54BE4">
            <w:pPr>
              <w:spacing w:before="40" w:after="40"/>
              <w:rPr>
                <w:b/>
                <w:sz w:val="17"/>
                <w:lang w:eastAsia="en-GB"/>
              </w:rPr>
            </w:pPr>
            <w:r>
              <w:rPr>
                <w:rFonts w:eastAsia="新細明體"/>
                <w:b/>
                <w:sz w:val="17"/>
                <w:szCs w:val="17"/>
                <w:lang w:eastAsia="en-GB"/>
              </w:rPr>
              <w:t>Accompanying narrative</w:t>
            </w:r>
            <w:r>
              <w:rPr>
                <w:rFonts w:eastAsia="新細明體"/>
                <w:sz w:val="17"/>
                <w:szCs w:val="17"/>
                <w:lang w:eastAsia="en-GB"/>
              </w:rPr>
              <w:t>:</w:t>
            </w:r>
          </w:p>
        </w:tc>
        <w:tc>
          <w:tcPr>
            <w:tcW w:w="7490" w:type="dxa"/>
            <w:gridSpan w:val="2"/>
          </w:tcPr>
          <w:p w:rsidR="002A0515" w:rsidRDefault="002A0515" w:rsidP="00A54BE4">
            <w:pPr>
              <w:pStyle w:val="TableText"/>
              <w:jc w:val="both"/>
              <w:rPr>
                <w:noProof/>
                <w:lang w:eastAsia="en-GB"/>
              </w:rPr>
            </w:pPr>
            <w:r>
              <w:rPr>
                <w:szCs w:val="17"/>
                <w:lang w:eastAsia="en-GB"/>
              </w:rPr>
              <w:t>An AI should supplement the template with a narrative commentary to explain any material movements in the current reporting period and the key drivers of such movements.</w:t>
            </w:r>
          </w:p>
        </w:tc>
      </w:tr>
      <w:tr w:rsidR="002A0515" w:rsidTr="00A54BE4">
        <w:tc>
          <w:tcPr>
            <w:tcW w:w="2008" w:type="dxa"/>
          </w:tcPr>
          <w:p w:rsidR="002A0515" w:rsidRDefault="002A0515" w:rsidP="00A54BE4">
            <w:pPr>
              <w:spacing w:before="40" w:after="40"/>
              <w:rPr>
                <w:rFonts w:eastAsia="新細明體"/>
                <w:b/>
                <w:sz w:val="17"/>
                <w:szCs w:val="17"/>
                <w:lang w:eastAsia="en-GB"/>
              </w:rPr>
            </w:pPr>
            <w:r>
              <w:rPr>
                <w:rFonts w:eastAsia="新細明體"/>
                <w:b/>
                <w:sz w:val="17"/>
                <w:szCs w:val="17"/>
                <w:lang w:eastAsia="en-GB"/>
              </w:rPr>
              <w:t>Corresponding BDR section:</w:t>
            </w:r>
          </w:p>
        </w:tc>
        <w:tc>
          <w:tcPr>
            <w:tcW w:w="7490" w:type="dxa"/>
            <w:gridSpan w:val="2"/>
          </w:tcPr>
          <w:p w:rsidR="002A0515" w:rsidRDefault="002A0515" w:rsidP="00A54BE4">
            <w:pPr>
              <w:pStyle w:val="TableText"/>
              <w:jc w:val="both"/>
              <w:rPr>
                <w:szCs w:val="17"/>
                <w:lang w:eastAsia="en-GB"/>
              </w:rPr>
            </w:pPr>
            <w:r>
              <w:rPr>
                <w:szCs w:val="17"/>
                <w:lang w:eastAsia="en-GB"/>
              </w:rPr>
              <w:t>16ZA</w:t>
            </w:r>
          </w:p>
        </w:tc>
      </w:tr>
    </w:tbl>
    <w:p w:rsidR="002A0515" w:rsidRDefault="002A0515" w:rsidP="002A0515">
      <w:pPr>
        <w:spacing w:before="60" w:after="60" w:line="200" w:lineRule="atLeast"/>
        <w:rPr>
          <w:sz w:val="22"/>
        </w:rPr>
      </w:pPr>
    </w:p>
    <w:tbl>
      <w:tblPr>
        <w:tblW w:w="9242" w:type="dxa"/>
        <w:tblInd w:w="-459" w:type="dxa"/>
        <w:tblBorders>
          <w:top w:val="single" w:sz="4" w:space="0" w:color="BCBDBC"/>
          <w:left w:val="single" w:sz="4" w:space="0" w:color="BFBFBF"/>
          <w:bottom w:val="single" w:sz="4" w:space="0" w:color="BCBDBC"/>
          <w:right w:val="single" w:sz="4" w:space="0" w:color="BFBFBF"/>
          <w:insideH w:val="single" w:sz="4" w:space="0" w:color="BCBDBC"/>
          <w:insideV w:val="single" w:sz="4" w:space="0" w:color="BCBDBC"/>
        </w:tblBorders>
        <w:tblLayout w:type="fixed"/>
        <w:tblLook w:val="00A0" w:firstRow="1" w:lastRow="0" w:firstColumn="1" w:lastColumn="0" w:noHBand="0" w:noVBand="0"/>
      </w:tblPr>
      <w:tblGrid>
        <w:gridCol w:w="851"/>
        <w:gridCol w:w="1534"/>
        <w:gridCol w:w="1140"/>
        <w:gridCol w:w="1140"/>
        <w:gridCol w:w="1140"/>
        <w:gridCol w:w="1141"/>
        <w:gridCol w:w="1134"/>
        <w:gridCol w:w="1134"/>
        <w:gridCol w:w="28"/>
      </w:tblGrid>
      <w:tr w:rsidR="002A0515" w:rsidTr="0087169A">
        <w:trPr>
          <w:cantSplit/>
        </w:trPr>
        <w:tc>
          <w:tcPr>
            <w:tcW w:w="2385" w:type="dxa"/>
            <w:gridSpan w:val="2"/>
            <w:tcBorders>
              <w:top w:val="nil"/>
              <w:left w:val="nil"/>
              <w:bottom w:val="nil"/>
              <w:right w:val="single" w:sz="4" w:space="0" w:color="auto"/>
            </w:tcBorders>
          </w:tcPr>
          <w:p w:rsidR="002A0515" w:rsidRDefault="002A0515" w:rsidP="00A54BE4">
            <w:pPr>
              <w:pStyle w:val="TableText"/>
              <w:snapToGrid w:val="0"/>
              <w:rPr>
                <w:szCs w:val="17"/>
                <w:lang w:eastAsia="en-GB"/>
              </w:rPr>
            </w:pPr>
          </w:p>
        </w:tc>
        <w:tc>
          <w:tcPr>
            <w:tcW w:w="1140"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rFonts w:cs="Segoe UI"/>
                <w:szCs w:val="17"/>
                <w:lang w:eastAsia="it-IT"/>
              </w:rPr>
            </w:pPr>
            <w:r>
              <w:rPr>
                <w:rFonts w:cs="Segoe UI"/>
                <w:szCs w:val="17"/>
                <w:lang w:eastAsia="it-IT"/>
              </w:rPr>
              <w:t>(a)</w:t>
            </w:r>
          </w:p>
        </w:tc>
        <w:tc>
          <w:tcPr>
            <w:tcW w:w="1140" w:type="dxa"/>
            <w:tcBorders>
              <w:top w:val="single" w:sz="4" w:space="0" w:color="auto"/>
              <w:left w:val="single" w:sz="4" w:space="0" w:color="auto"/>
              <w:bottom w:val="single" w:sz="4" w:space="0" w:color="auto"/>
              <w:right w:val="single" w:sz="4" w:space="0" w:color="auto"/>
            </w:tcBorders>
          </w:tcPr>
          <w:p w:rsidR="002A0515" w:rsidRDefault="002A0515" w:rsidP="00A54BE4">
            <w:pPr>
              <w:pStyle w:val="TableText"/>
              <w:snapToGrid w:val="0"/>
              <w:jc w:val="center"/>
              <w:rPr>
                <w:rFonts w:cs="Segoe UI"/>
                <w:szCs w:val="17"/>
                <w:lang w:eastAsia="it-IT"/>
              </w:rPr>
            </w:pPr>
            <w:r>
              <w:rPr>
                <w:rFonts w:cs="Segoe UI"/>
                <w:szCs w:val="17"/>
                <w:lang w:eastAsia="it-IT"/>
              </w:rPr>
              <w:t>(b)</w:t>
            </w:r>
          </w:p>
        </w:tc>
        <w:tc>
          <w:tcPr>
            <w:tcW w:w="1140" w:type="dxa"/>
            <w:tcBorders>
              <w:top w:val="single" w:sz="4" w:space="0" w:color="auto"/>
              <w:left w:val="single" w:sz="4" w:space="0" w:color="auto"/>
              <w:bottom w:val="single" w:sz="4" w:space="0" w:color="auto"/>
              <w:right w:val="single" w:sz="4" w:space="0" w:color="auto"/>
            </w:tcBorders>
          </w:tcPr>
          <w:p w:rsidR="002A0515" w:rsidRDefault="002A0515" w:rsidP="00A54BE4">
            <w:pPr>
              <w:pStyle w:val="TableText"/>
              <w:snapToGrid w:val="0"/>
              <w:jc w:val="center"/>
              <w:rPr>
                <w:rFonts w:cs="Segoe UI"/>
                <w:szCs w:val="17"/>
                <w:lang w:eastAsia="it-IT"/>
              </w:rPr>
            </w:pPr>
            <w:r>
              <w:rPr>
                <w:rFonts w:cs="Segoe UI"/>
                <w:szCs w:val="17"/>
                <w:lang w:eastAsia="it-IT"/>
              </w:rPr>
              <w:t>(c)</w:t>
            </w:r>
          </w:p>
        </w:tc>
        <w:tc>
          <w:tcPr>
            <w:tcW w:w="1141" w:type="dxa"/>
            <w:tcBorders>
              <w:top w:val="single" w:sz="4" w:space="0" w:color="auto"/>
              <w:left w:val="single" w:sz="4" w:space="0" w:color="auto"/>
              <w:bottom w:val="single" w:sz="4" w:space="0" w:color="auto"/>
              <w:right w:val="single" w:sz="4" w:space="0" w:color="auto"/>
            </w:tcBorders>
          </w:tcPr>
          <w:p w:rsidR="002A0515" w:rsidRDefault="002A0515" w:rsidP="00A54BE4">
            <w:pPr>
              <w:pStyle w:val="TableText"/>
              <w:snapToGrid w:val="0"/>
              <w:jc w:val="center"/>
              <w:rPr>
                <w:rFonts w:cs="Segoe UI"/>
                <w:szCs w:val="17"/>
                <w:lang w:eastAsia="it-IT"/>
              </w:rPr>
            </w:pPr>
            <w:r>
              <w:rPr>
                <w:rFonts w:cs="Segoe UI"/>
                <w:szCs w:val="17"/>
                <w:lang w:eastAsia="it-IT"/>
              </w:rPr>
              <w:t>(d)</w:t>
            </w:r>
          </w:p>
        </w:tc>
        <w:tc>
          <w:tcPr>
            <w:tcW w:w="1134" w:type="dxa"/>
            <w:tcBorders>
              <w:top w:val="single" w:sz="4" w:space="0" w:color="auto"/>
              <w:left w:val="single" w:sz="4" w:space="0" w:color="auto"/>
              <w:bottom w:val="single" w:sz="4" w:space="0" w:color="auto"/>
              <w:right w:val="single" w:sz="4" w:space="0" w:color="auto"/>
            </w:tcBorders>
          </w:tcPr>
          <w:p w:rsidR="002A0515" w:rsidRDefault="002A0515" w:rsidP="00A54BE4">
            <w:pPr>
              <w:pStyle w:val="TableText"/>
              <w:snapToGrid w:val="0"/>
              <w:jc w:val="center"/>
              <w:rPr>
                <w:rFonts w:cs="Segoe UI"/>
                <w:szCs w:val="17"/>
                <w:lang w:eastAsia="it-IT"/>
              </w:rPr>
            </w:pPr>
            <w:r>
              <w:rPr>
                <w:rFonts w:cs="Segoe UI"/>
                <w:szCs w:val="17"/>
                <w:lang w:eastAsia="it-IT"/>
              </w:rPr>
              <w:t>(e)</w:t>
            </w:r>
          </w:p>
        </w:tc>
        <w:tc>
          <w:tcPr>
            <w:tcW w:w="1162" w:type="dxa"/>
            <w:gridSpan w:val="2"/>
            <w:tcBorders>
              <w:top w:val="single" w:sz="4" w:space="0" w:color="auto"/>
              <w:left w:val="single" w:sz="4" w:space="0" w:color="auto"/>
              <w:bottom w:val="single" w:sz="4" w:space="0" w:color="auto"/>
              <w:right w:val="single" w:sz="4" w:space="0" w:color="auto"/>
            </w:tcBorders>
          </w:tcPr>
          <w:p w:rsidR="002A0515" w:rsidRDefault="002A0515" w:rsidP="00A54BE4">
            <w:pPr>
              <w:pStyle w:val="TableText"/>
              <w:snapToGrid w:val="0"/>
              <w:jc w:val="center"/>
              <w:rPr>
                <w:rFonts w:cs="Segoe UI"/>
                <w:szCs w:val="17"/>
                <w:lang w:eastAsia="it-IT"/>
              </w:rPr>
            </w:pPr>
            <w:r>
              <w:rPr>
                <w:rFonts w:cs="Segoe UI"/>
                <w:szCs w:val="17"/>
                <w:lang w:eastAsia="it-IT"/>
              </w:rPr>
              <w:t>(f)</w:t>
            </w:r>
          </w:p>
        </w:tc>
      </w:tr>
      <w:tr w:rsidR="002A0515" w:rsidTr="0087169A">
        <w:trPr>
          <w:cantSplit/>
        </w:trPr>
        <w:tc>
          <w:tcPr>
            <w:tcW w:w="2385" w:type="dxa"/>
            <w:gridSpan w:val="2"/>
            <w:tcBorders>
              <w:top w:val="nil"/>
              <w:left w:val="nil"/>
              <w:bottom w:val="nil"/>
              <w:right w:val="single" w:sz="4" w:space="0" w:color="auto"/>
            </w:tcBorders>
          </w:tcPr>
          <w:p w:rsidR="002A0515" w:rsidRDefault="002A0515" w:rsidP="00A54BE4">
            <w:pPr>
              <w:pStyle w:val="TableText"/>
              <w:snapToGrid w:val="0"/>
              <w:rPr>
                <w:spacing w:val="-16"/>
                <w:szCs w:val="17"/>
                <w:lang w:eastAsia="en-GB"/>
              </w:rPr>
            </w:pPr>
          </w:p>
        </w:tc>
        <w:tc>
          <w:tcPr>
            <w:tcW w:w="4561" w:type="dxa"/>
            <w:gridSpan w:val="4"/>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rFonts w:cs="Segoe UI"/>
                <w:spacing w:val="-16"/>
                <w:szCs w:val="17"/>
                <w:lang w:eastAsia="it-IT"/>
              </w:rPr>
            </w:pPr>
            <w:r>
              <w:rPr>
                <w:szCs w:val="17"/>
                <w:lang w:eastAsia="en-GB"/>
              </w:rPr>
              <w:t>Derivative contracts</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rFonts w:cs="Segoe UI"/>
                <w:spacing w:val="-16"/>
                <w:szCs w:val="17"/>
                <w:lang w:eastAsia="it-IT"/>
              </w:rPr>
            </w:pPr>
            <w:r>
              <w:rPr>
                <w:szCs w:val="17"/>
                <w:lang w:eastAsia="en-GB"/>
              </w:rPr>
              <w:t>SFTs</w:t>
            </w:r>
            <w:r>
              <w:rPr>
                <w:rStyle w:val="FootnoteReference"/>
                <w:rFonts w:eastAsia="Calibri"/>
                <w:szCs w:val="17"/>
                <w:lang w:eastAsia="en-GB"/>
              </w:rPr>
              <w:footnoteReference w:id="3"/>
            </w:r>
          </w:p>
        </w:tc>
      </w:tr>
      <w:tr w:rsidR="002A0515" w:rsidTr="0087169A">
        <w:trPr>
          <w:cantSplit/>
          <w:trHeight w:val="310"/>
        </w:trPr>
        <w:tc>
          <w:tcPr>
            <w:tcW w:w="2385" w:type="dxa"/>
            <w:gridSpan w:val="2"/>
            <w:vMerge w:val="restart"/>
            <w:tcBorders>
              <w:top w:val="nil"/>
              <w:left w:val="nil"/>
              <w:right w:val="single" w:sz="4" w:space="0" w:color="auto"/>
            </w:tcBorders>
          </w:tcPr>
          <w:p w:rsidR="002A0515" w:rsidRDefault="002A0515" w:rsidP="00A54BE4">
            <w:pPr>
              <w:pStyle w:val="TableText"/>
              <w:snapToGrid w:val="0"/>
              <w:rPr>
                <w:spacing w:val="-16"/>
                <w:szCs w:val="17"/>
                <w:lang w:eastAsia="en-GB"/>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rFonts w:cs="Segoe UI"/>
                <w:spacing w:val="-16"/>
                <w:szCs w:val="17"/>
                <w:lang w:eastAsia="it-IT"/>
              </w:rPr>
            </w:pPr>
            <w:r>
              <w:rPr>
                <w:szCs w:val="17"/>
                <w:lang w:eastAsia="en-GB"/>
              </w:rPr>
              <w:t>Fair value of recognized collateral received</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rFonts w:cs="Segoe UI"/>
                <w:spacing w:val="-16"/>
                <w:szCs w:val="17"/>
                <w:lang w:eastAsia="it-IT"/>
              </w:rPr>
            </w:pPr>
            <w:r>
              <w:rPr>
                <w:szCs w:val="17"/>
                <w:lang w:eastAsia="en-GB"/>
              </w:rPr>
              <w:t>Fair value of posted collateral</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rFonts w:cs="Segoe UI"/>
                <w:spacing w:val="-16"/>
                <w:szCs w:val="17"/>
                <w:lang w:eastAsia="it-IT"/>
              </w:rPr>
            </w:pPr>
            <w:r>
              <w:rPr>
                <w:szCs w:val="17"/>
                <w:lang w:eastAsia="en-GB"/>
              </w:rPr>
              <w:t>Fair value of recognized collateral received</w:t>
            </w:r>
          </w:p>
        </w:tc>
        <w:tc>
          <w:tcPr>
            <w:tcW w:w="1162" w:type="dxa"/>
            <w:gridSpan w:val="2"/>
            <w:vMerge w:val="restart"/>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rFonts w:cs="Segoe UI"/>
                <w:spacing w:val="-16"/>
                <w:szCs w:val="17"/>
                <w:lang w:eastAsia="it-IT"/>
              </w:rPr>
            </w:pPr>
            <w:r>
              <w:rPr>
                <w:szCs w:val="17"/>
                <w:lang w:eastAsia="en-GB"/>
              </w:rPr>
              <w:t>Fair value of posted  collateral</w:t>
            </w:r>
          </w:p>
        </w:tc>
      </w:tr>
      <w:tr w:rsidR="002A0515" w:rsidTr="00A54BE4">
        <w:trPr>
          <w:cantSplit/>
          <w:trHeight w:val="310"/>
          <w:tblHeader/>
        </w:trPr>
        <w:tc>
          <w:tcPr>
            <w:tcW w:w="2385" w:type="dxa"/>
            <w:gridSpan w:val="2"/>
            <w:vMerge/>
            <w:tcBorders>
              <w:left w:val="nil"/>
              <w:bottom w:val="single" w:sz="4" w:space="0" w:color="auto"/>
              <w:right w:val="single" w:sz="4" w:space="0" w:color="auto"/>
            </w:tcBorders>
          </w:tcPr>
          <w:p w:rsidR="002A0515" w:rsidRDefault="002A0515" w:rsidP="00A54BE4">
            <w:pPr>
              <w:pStyle w:val="TableText"/>
              <w:snapToGrid w:val="0"/>
              <w:rPr>
                <w:spacing w:val="-16"/>
                <w:szCs w:val="17"/>
                <w:lang w:eastAsia="en-GB"/>
              </w:rPr>
            </w:pPr>
          </w:p>
        </w:tc>
        <w:tc>
          <w:tcPr>
            <w:tcW w:w="1140"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rFonts w:cs="Segoe UI"/>
                <w:spacing w:val="-16"/>
                <w:szCs w:val="17"/>
                <w:lang w:eastAsia="it-IT"/>
              </w:rPr>
            </w:pPr>
            <w:r>
              <w:rPr>
                <w:szCs w:val="17"/>
                <w:lang w:eastAsia="en-GB"/>
              </w:rPr>
              <w:t>Segregated</w:t>
            </w:r>
          </w:p>
        </w:tc>
        <w:tc>
          <w:tcPr>
            <w:tcW w:w="1140"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ind w:leftChars="-44" w:left="-88" w:rightChars="-60" w:right="-120"/>
              <w:jc w:val="center"/>
              <w:rPr>
                <w:rFonts w:cs="Segoe UI"/>
                <w:spacing w:val="-16"/>
                <w:szCs w:val="17"/>
                <w:lang w:eastAsia="it-IT"/>
              </w:rPr>
            </w:pPr>
            <w:r>
              <w:rPr>
                <w:szCs w:val="17"/>
                <w:lang w:eastAsia="en-GB"/>
              </w:rPr>
              <w:t>Unsegregated</w:t>
            </w:r>
          </w:p>
        </w:tc>
        <w:tc>
          <w:tcPr>
            <w:tcW w:w="1140"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rFonts w:cs="Segoe UI"/>
                <w:spacing w:val="-16"/>
                <w:szCs w:val="17"/>
                <w:lang w:eastAsia="it-IT"/>
              </w:rPr>
            </w:pPr>
            <w:r>
              <w:rPr>
                <w:szCs w:val="17"/>
                <w:lang w:eastAsia="en-GB"/>
              </w:rPr>
              <w:t>Segregated</w:t>
            </w:r>
          </w:p>
        </w:tc>
        <w:tc>
          <w:tcPr>
            <w:tcW w:w="1141"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ind w:leftChars="-50" w:left="-100" w:rightChars="-54" w:right="-108"/>
              <w:jc w:val="center"/>
              <w:rPr>
                <w:rFonts w:cs="Segoe UI"/>
                <w:spacing w:val="-16"/>
                <w:szCs w:val="17"/>
                <w:lang w:eastAsia="it-IT"/>
              </w:rPr>
            </w:pPr>
            <w:r>
              <w:rPr>
                <w:szCs w:val="17"/>
                <w:lang w:eastAsia="en-GB"/>
              </w:rPr>
              <w:t>Unsegregated</w:t>
            </w:r>
          </w:p>
        </w:tc>
        <w:tc>
          <w:tcPr>
            <w:tcW w:w="1134" w:type="dxa"/>
            <w:vMerge/>
            <w:tcBorders>
              <w:left w:val="single" w:sz="4" w:space="0" w:color="auto"/>
              <w:bottom w:val="single" w:sz="4" w:space="0" w:color="auto"/>
              <w:right w:val="single" w:sz="4" w:space="0" w:color="auto"/>
            </w:tcBorders>
          </w:tcPr>
          <w:p w:rsidR="002A0515" w:rsidRDefault="002A0515" w:rsidP="00A54BE4">
            <w:pPr>
              <w:pStyle w:val="TableText"/>
              <w:snapToGrid w:val="0"/>
              <w:rPr>
                <w:rFonts w:cs="Segoe UI"/>
                <w:spacing w:val="-16"/>
                <w:szCs w:val="17"/>
                <w:lang w:eastAsia="it-IT"/>
              </w:rPr>
            </w:pPr>
          </w:p>
        </w:tc>
        <w:tc>
          <w:tcPr>
            <w:tcW w:w="1162" w:type="dxa"/>
            <w:gridSpan w:val="2"/>
            <w:vMerge/>
            <w:tcBorders>
              <w:left w:val="single" w:sz="4" w:space="0" w:color="auto"/>
              <w:bottom w:val="single" w:sz="4" w:space="0" w:color="auto"/>
              <w:right w:val="single" w:sz="4" w:space="0" w:color="auto"/>
            </w:tcBorders>
          </w:tcPr>
          <w:p w:rsidR="002A0515" w:rsidRDefault="002A0515" w:rsidP="00A54BE4">
            <w:pPr>
              <w:pStyle w:val="TableText"/>
              <w:snapToGrid w:val="0"/>
              <w:rPr>
                <w:rFonts w:cs="Segoe UI"/>
                <w:spacing w:val="-16"/>
                <w:szCs w:val="17"/>
                <w:lang w:eastAsia="it-IT"/>
              </w:rPr>
            </w:pPr>
          </w:p>
        </w:tc>
      </w:tr>
      <w:tr w:rsidR="002A0515" w:rsidTr="00A54BE4">
        <w:trPr>
          <w:cantSplit/>
        </w:trPr>
        <w:tc>
          <w:tcPr>
            <w:tcW w:w="2385" w:type="dxa"/>
            <w:gridSpan w:val="2"/>
            <w:tcBorders>
              <w:top w:val="single" w:sz="4" w:space="0" w:color="auto"/>
              <w:left w:val="nil"/>
              <w:right w:val="single" w:sz="4" w:space="0" w:color="auto"/>
            </w:tcBorders>
          </w:tcPr>
          <w:p w:rsidR="002A0515" w:rsidRDefault="002A0515" w:rsidP="00A54BE4">
            <w:pPr>
              <w:pStyle w:val="TableText"/>
              <w:snapToGrid w:val="0"/>
              <w:rPr>
                <w:szCs w:val="17"/>
                <w:lang w:eastAsia="en-GB"/>
              </w:rPr>
            </w:pPr>
            <w:r>
              <w:rPr>
                <w:rFonts w:cs="Segoe UI"/>
                <w:szCs w:val="17"/>
                <w:lang w:eastAsia="en-GB"/>
              </w:rPr>
              <w:t>Cash</w:t>
            </w:r>
            <w:r>
              <w:rPr>
                <w:szCs w:val="17"/>
                <w:lang w:eastAsia="en-GB"/>
              </w:rPr>
              <w:t xml:space="preserve"> - domestic currency</w:t>
            </w:r>
            <w:r>
              <w:rPr>
                <w:rStyle w:val="FootnoteReference"/>
                <w:szCs w:val="17"/>
                <w:lang w:eastAsia="en-GB"/>
              </w:rPr>
              <w:footnoteReference w:id="4"/>
            </w: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1"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34"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62" w:type="dxa"/>
            <w:gridSpan w:val="2"/>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2385" w:type="dxa"/>
            <w:gridSpan w:val="2"/>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Cash - other currencies</w:t>
            </w: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1"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34"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62" w:type="dxa"/>
            <w:gridSpan w:val="2"/>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2385" w:type="dxa"/>
            <w:gridSpan w:val="2"/>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Domestic sovereign debt</w:t>
            </w: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1"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34"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62" w:type="dxa"/>
            <w:gridSpan w:val="2"/>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2385" w:type="dxa"/>
            <w:gridSpan w:val="2"/>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Other sovereign debt</w:t>
            </w: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1"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34"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62" w:type="dxa"/>
            <w:gridSpan w:val="2"/>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2385" w:type="dxa"/>
            <w:gridSpan w:val="2"/>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Government agency debt</w:t>
            </w: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1"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34"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62" w:type="dxa"/>
            <w:gridSpan w:val="2"/>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2385" w:type="dxa"/>
            <w:gridSpan w:val="2"/>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Corporate bonds</w:t>
            </w: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1"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34"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62" w:type="dxa"/>
            <w:gridSpan w:val="2"/>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2385" w:type="dxa"/>
            <w:gridSpan w:val="2"/>
            <w:tcBorders>
              <w:left w:val="nil"/>
              <w:right w:val="single" w:sz="4" w:space="0" w:color="auto"/>
            </w:tcBorders>
          </w:tcPr>
          <w:p w:rsidR="002A0515" w:rsidRDefault="002A0515" w:rsidP="00A54BE4">
            <w:pPr>
              <w:pStyle w:val="TableText"/>
              <w:snapToGrid w:val="0"/>
              <w:rPr>
                <w:szCs w:val="17"/>
                <w:lang w:eastAsia="en-GB"/>
              </w:rPr>
            </w:pPr>
            <w:r>
              <w:rPr>
                <w:szCs w:val="17"/>
                <w:lang w:eastAsia="en-GB"/>
              </w:rPr>
              <w:t>Equity securities</w:t>
            </w: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41"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34" w:type="dxa"/>
            <w:tcBorders>
              <w:left w:val="single" w:sz="4" w:space="0" w:color="auto"/>
              <w:right w:val="single" w:sz="4" w:space="0" w:color="auto"/>
            </w:tcBorders>
          </w:tcPr>
          <w:p w:rsidR="002A0515" w:rsidRDefault="002A0515" w:rsidP="00A54BE4">
            <w:pPr>
              <w:pStyle w:val="TableText"/>
              <w:snapToGrid w:val="0"/>
              <w:rPr>
                <w:szCs w:val="17"/>
                <w:lang w:eastAsia="en-GB"/>
              </w:rPr>
            </w:pPr>
          </w:p>
        </w:tc>
        <w:tc>
          <w:tcPr>
            <w:tcW w:w="1162" w:type="dxa"/>
            <w:gridSpan w:val="2"/>
            <w:tcBorders>
              <w:left w:val="single" w:sz="4" w:space="0" w:color="auto"/>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2385" w:type="dxa"/>
            <w:gridSpan w:val="2"/>
            <w:tcBorders>
              <w:left w:val="nil"/>
              <w:bottom w:val="single" w:sz="4" w:space="0" w:color="BCBDBC"/>
              <w:right w:val="single" w:sz="4" w:space="0" w:color="auto"/>
            </w:tcBorders>
          </w:tcPr>
          <w:p w:rsidR="002A0515" w:rsidRDefault="002A0515" w:rsidP="00A54BE4">
            <w:pPr>
              <w:pStyle w:val="TableText"/>
              <w:snapToGrid w:val="0"/>
              <w:rPr>
                <w:szCs w:val="17"/>
                <w:lang w:eastAsia="en-GB"/>
              </w:rPr>
            </w:pPr>
            <w:r>
              <w:rPr>
                <w:szCs w:val="17"/>
                <w:lang w:eastAsia="en-GB"/>
              </w:rPr>
              <w:t>Other collateral</w:t>
            </w:r>
          </w:p>
        </w:tc>
        <w:tc>
          <w:tcPr>
            <w:tcW w:w="1140"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41"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34"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62" w:type="dxa"/>
            <w:gridSpan w:val="2"/>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2385" w:type="dxa"/>
            <w:gridSpan w:val="2"/>
            <w:tcBorders>
              <w:left w:val="nil"/>
              <w:bottom w:val="single" w:sz="4" w:space="0" w:color="BCBDBC"/>
              <w:right w:val="single" w:sz="4" w:space="0" w:color="auto"/>
            </w:tcBorders>
          </w:tcPr>
          <w:p w:rsidR="002A0515" w:rsidRDefault="002A0515" w:rsidP="00A54BE4">
            <w:pPr>
              <w:pStyle w:val="TableText"/>
              <w:snapToGrid w:val="0"/>
              <w:rPr>
                <w:szCs w:val="17"/>
                <w:lang w:eastAsia="en-GB"/>
              </w:rPr>
            </w:pPr>
            <w:r>
              <w:rPr>
                <w:szCs w:val="17"/>
                <w:lang w:eastAsia="en-GB"/>
              </w:rPr>
              <w:t>…</w:t>
            </w:r>
          </w:p>
        </w:tc>
        <w:tc>
          <w:tcPr>
            <w:tcW w:w="1140"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40"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41"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34" w:type="dxa"/>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c>
          <w:tcPr>
            <w:tcW w:w="1162" w:type="dxa"/>
            <w:gridSpan w:val="2"/>
            <w:tcBorders>
              <w:left w:val="single" w:sz="4" w:space="0" w:color="auto"/>
              <w:bottom w:val="single" w:sz="4" w:space="0" w:color="BCBDBC"/>
              <w:right w:val="single" w:sz="4" w:space="0" w:color="auto"/>
            </w:tcBorders>
          </w:tcPr>
          <w:p w:rsidR="002A0515" w:rsidRDefault="002A0515" w:rsidP="00A54BE4">
            <w:pPr>
              <w:pStyle w:val="TableText"/>
              <w:snapToGrid w:val="0"/>
              <w:rPr>
                <w:szCs w:val="17"/>
                <w:lang w:eastAsia="en-GB"/>
              </w:rPr>
            </w:pPr>
          </w:p>
        </w:tc>
      </w:tr>
      <w:tr w:rsidR="002A0515" w:rsidTr="00A54BE4">
        <w:trPr>
          <w:cantSplit/>
        </w:trPr>
        <w:tc>
          <w:tcPr>
            <w:tcW w:w="2385" w:type="dxa"/>
            <w:gridSpan w:val="2"/>
            <w:tcBorders>
              <w:left w:val="nil"/>
              <w:bottom w:val="single" w:sz="4" w:space="0" w:color="auto"/>
              <w:right w:val="single" w:sz="4" w:space="0" w:color="auto"/>
            </w:tcBorders>
          </w:tcPr>
          <w:p w:rsidR="002A0515" w:rsidRDefault="002A0515" w:rsidP="00A54BE4">
            <w:pPr>
              <w:pStyle w:val="TableText"/>
              <w:snapToGrid w:val="0"/>
              <w:rPr>
                <w:b/>
                <w:szCs w:val="17"/>
                <w:lang w:eastAsia="en-GB"/>
              </w:rPr>
            </w:pPr>
            <w:r>
              <w:rPr>
                <w:b/>
                <w:szCs w:val="17"/>
                <w:lang w:eastAsia="en-GB"/>
              </w:rPr>
              <w:t>Total</w:t>
            </w:r>
          </w:p>
        </w:tc>
        <w:tc>
          <w:tcPr>
            <w:tcW w:w="1140" w:type="dxa"/>
            <w:tcBorders>
              <w:left w:val="single" w:sz="4" w:space="0" w:color="auto"/>
              <w:bottom w:val="single" w:sz="4" w:space="0" w:color="auto"/>
              <w:right w:val="single" w:sz="4" w:space="0" w:color="auto"/>
            </w:tcBorders>
          </w:tcPr>
          <w:p w:rsidR="002A0515" w:rsidRDefault="002A0515" w:rsidP="00A54BE4">
            <w:pPr>
              <w:pStyle w:val="TableText"/>
              <w:snapToGrid w:val="0"/>
              <w:rPr>
                <w:b/>
                <w:szCs w:val="17"/>
                <w:lang w:eastAsia="en-GB"/>
              </w:rPr>
            </w:pPr>
          </w:p>
        </w:tc>
        <w:tc>
          <w:tcPr>
            <w:tcW w:w="1140" w:type="dxa"/>
            <w:tcBorders>
              <w:left w:val="single" w:sz="4" w:space="0" w:color="auto"/>
              <w:bottom w:val="single" w:sz="4" w:space="0" w:color="auto"/>
              <w:right w:val="single" w:sz="4" w:space="0" w:color="auto"/>
            </w:tcBorders>
          </w:tcPr>
          <w:p w:rsidR="002A0515" w:rsidRDefault="002A0515" w:rsidP="00A54BE4">
            <w:pPr>
              <w:pStyle w:val="TableText"/>
              <w:snapToGrid w:val="0"/>
              <w:rPr>
                <w:b/>
                <w:szCs w:val="17"/>
                <w:lang w:eastAsia="en-GB"/>
              </w:rPr>
            </w:pPr>
          </w:p>
        </w:tc>
        <w:tc>
          <w:tcPr>
            <w:tcW w:w="1140" w:type="dxa"/>
            <w:tcBorders>
              <w:left w:val="single" w:sz="4" w:space="0" w:color="auto"/>
              <w:bottom w:val="single" w:sz="4" w:space="0" w:color="auto"/>
              <w:right w:val="single" w:sz="4" w:space="0" w:color="auto"/>
            </w:tcBorders>
          </w:tcPr>
          <w:p w:rsidR="002A0515" w:rsidRDefault="002A0515" w:rsidP="00A54BE4">
            <w:pPr>
              <w:pStyle w:val="TableText"/>
              <w:snapToGrid w:val="0"/>
              <w:rPr>
                <w:b/>
                <w:szCs w:val="17"/>
                <w:lang w:eastAsia="en-GB"/>
              </w:rPr>
            </w:pPr>
          </w:p>
        </w:tc>
        <w:tc>
          <w:tcPr>
            <w:tcW w:w="1141" w:type="dxa"/>
            <w:tcBorders>
              <w:left w:val="single" w:sz="4" w:space="0" w:color="auto"/>
              <w:bottom w:val="single" w:sz="4" w:space="0" w:color="auto"/>
              <w:right w:val="single" w:sz="4" w:space="0" w:color="auto"/>
            </w:tcBorders>
          </w:tcPr>
          <w:p w:rsidR="002A0515" w:rsidRDefault="002A0515" w:rsidP="00A54BE4">
            <w:pPr>
              <w:pStyle w:val="TableText"/>
              <w:snapToGrid w:val="0"/>
              <w:rPr>
                <w:b/>
                <w:szCs w:val="17"/>
                <w:lang w:eastAsia="en-GB"/>
              </w:rPr>
            </w:pPr>
          </w:p>
        </w:tc>
        <w:tc>
          <w:tcPr>
            <w:tcW w:w="1134" w:type="dxa"/>
            <w:tcBorders>
              <w:left w:val="single" w:sz="4" w:space="0" w:color="auto"/>
              <w:bottom w:val="single" w:sz="4" w:space="0" w:color="auto"/>
              <w:right w:val="single" w:sz="4" w:space="0" w:color="auto"/>
            </w:tcBorders>
          </w:tcPr>
          <w:p w:rsidR="002A0515" w:rsidRDefault="002A0515" w:rsidP="00A54BE4">
            <w:pPr>
              <w:pStyle w:val="TableText"/>
              <w:snapToGrid w:val="0"/>
              <w:rPr>
                <w:b/>
                <w:szCs w:val="17"/>
                <w:lang w:eastAsia="en-GB"/>
              </w:rPr>
            </w:pPr>
          </w:p>
        </w:tc>
        <w:tc>
          <w:tcPr>
            <w:tcW w:w="1162" w:type="dxa"/>
            <w:gridSpan w:val="2"/>
            <w:tcBorders>
              <w:left w:val="single" w:sz="4" w:space="0" w:color="auto"/>
              <w:bottom w:val="single" w:sz="4" w:space="0" w:color="auto"/>
              <w:right w:val="single" w:sz="4" w:space="0" w:color="auto"/>
            </w:tcBorders>
          </w:tcPr>
          <w:p w:rsidR="002A0515" w:rsidRDefault="002A0515" w:rsidP="00A54BE4">
            <w:pPr>
              <w:pStyle w:val="TableText"/>
              <w:snapToGrid w:val="0"/>
              <w:rPr>
                <w:b/>
                <w:szCs w:val="17"/>
                <w:lang w:eastAsia="en-GB"/>
              </w:rPr>
            </w:pPr>
          </w:p>
        </w:tc>
      </w:tr>
      <w:tr w:rsidR="002A0515" w:rsidTr="00A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blHeader/>
        </w:trPr>
        <w:tc>
          <w:tcPr>
            <w:tcW w:w="9214" w:type="dxa"/>
            <w:gridSpan w:val="8"/>
            <w:shd w:val="clear" w:color="auto" w:fill="BFBFBF"/>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Explanatory Note</w:t>
            </w:r>
          </w:p>
        </w:tc>
      </w:tr>
      <w:tr w:rsidR="002A0515" w:rsidTr="00A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Height w:val="153"/>
        </w:trPr>
        <w:tc>
          <w:tcPr>
            <w:tcW w:w="9214" w:type="dxa"/>
            <w:gridSpan w:val="8"/>
            <w:shd w:val="clear" w:color="auto" w:fill="F2F2F2"/>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Columns</w:t>
            </w:r>
          </w:p>
        </w:tc>
      </w:tr>
      <w:tr w:rsidR="002A0515" w:rsidTr="00A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(a), (b) and (e)</w:t>
            </w:r>
          </w:p>
        </w:tc>
        <w:tc>
          <w:tcPr>
            <w:tcW w:w="8363" w:type="dxa"/>
            <w:gridSpan w:val="7"/>
          </w:tcPr>
          <w:p w:rsidR="002A0515" w:rsidRDefault="002A0515" w:rsidP="00A54BE4">
            <w:pPr>
              <w:pStyle w:val="TableText"/>
              <w:keepNext/>
              <w:jc w:val="both"/>
              <w:rPr>
                <w:rFonts w:eastAsia="Calibri" w:cs="Segoe UI"/>
                <w:szCs w:val="17"/>
                <w:lang w:eastAsia="en-GB"/>
              </w:rPr>
            </w:pPr>
            <w:r>
              <w:rPr>
                <w:rFonts w:eastAsia="Calibri" w:cs="Segoe UI"/>
                <w:i/>
                <w:szCs w:val="17"/>
                <w:lang w:eastAsia="en-GB"/>
              </w:rPr>
              <w:t>Fair value of recognized collateral received</w:t>
            </w:r>
            <w:r>
              <w:rPr>
                <w:rFonts w:eastAsia="Calibri" w:cs="Segoe UI"/>
                <w:szCs w:val="17"/>
                <w:lang w:eastAsia="en-GB"/>
              </w:rPr>
              <w:t>: the disclosed fair value of recognized collateral received should be after any haircut (if applicable), meaning the value of recognized collateral received will be reduced after haircut (i.e. C(1-H</w:t>
            </w:r>
            <w:r>
              <w:rPr>
                <w:rFonts w:eastAsia="Calibri" w:cs="Segoe UI"/>
                <w:sz w:val="16"/>
                <w:szCs w:val="17"/>
                <w:lang w:eastAsia="en-GB"/>
              </w:rPr>
              <w:t>s</w:t>
            </w:r>
            <w:r>
              <w:rPr>
                <w:rFonts w:eastAsia="Calibri" w:cs="Segoe UI"/>
                <w:szCs w:val="17"/>
                <w:lang w:eastAsia="en-GB"/>
              </w:rPr>
              <w:t xml:space="preserve">)).  </w:t>
            </w:r>
          </w:p>
        </w:tc>
      </w:tr>
      <w:tr w:rsidR="002A0515" w:rsidTr="00A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(c), (d) and (f)</w:t>
            </w:r>
          </w:p>
        </w:tc>
        <w:tc>
          <w:tcPr>
            <w:tcW w:w="8363" w:type="dxa"/>
            <w:gridSpan w:val="7"/>
          </w:tcPr>
          <w:p w:rsidR="002A0515" w:rsidRDefault="002A0515" w:rsidP="00A54BE4">
            <w:pPr>
              <w:pStyle w:val="TableText"/>
              <w:keepNext/>
              <w:jc w:val="both"/>
              <w:rPr>
                <w:rFonts w:eastAsia="Calibri" w:cs="Segoe UI"/>
                <w:szCs w:val="17"/>
                <w:lang w:eastAsia="en-GB"/>
              </w:rPr>
            </w:pPr>
            <w:r>
              <w:rPr>
                <w:rFonts w:eastAsia="Calibri" w:cs="Segoe UI"/>
                <w:i/>
                <w:szCs w:val="17"/>
                <w:lang w:eastAsia="en-GB"/>
              </w:rPr>
              <w:t>Fair value of posted collateral</w:t>
            </w:r>
            <w:r>
              <w:rPr>
                <w:rFonts w:eastAsia="Calibri" w:cs="Segoe UI"/>
                <w:szCs w:val="17"/>
                <w:lang w:eastAsia="en-GB"/>
              </w:rPr>
              <w:t>: the disclosed fair value of collateral posted should be after any haircut (if applicable), meaning the value of collateral posted (which is an exposure) will be increased after haircut (i.e. E(1+H</w:t>
            </w:r>
            <w:r>
              <w:rPr>
                <w:rFonts w:eastAsia="Calibri" w:cs="Segoe UI"/>
                <w:sz w:val="16"/>
                <w:szCs w:val="17"/>
                <w:lang w:eastAsia="en-GB"/>
              </w:rPr>
              <w:t>s</w:t>
            </w:r>
            <w:r>
              <w:rPr>
                <w:rFonts w:eastAsia="Calibri" w:cs="Segoe UI"/>
                <w:szCs w:val="17"/>
                <w:lang w:eastAsia="en-GB"/>
              </w:rPr>
              <w:t xml:space="preserve">)). </w:t>
            </w:r>
          </w:p>
        </w:tc>
      </w:tr>
      <w:tr w:rsidR="002A0515" w:rsidTr="00A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(a) &amp; (c)</w:t>
            </w:r>
          </w:p>
        </w:tc>
        <w:tc>
          <w:tcPr>
            <w:tcW w:w="8363" w:type="dxa"/>
            <w:gridSpan w:val="7"/>
          </w:tcPr>
          <w:p w:rsidR="002A0515" w:rsidRDefault="002A0515" w:rsidP="00A54BE4">
            <w:pPr>
              <w:pStyle w:val="TableText"/>
              <w:keepNext/>
              <w:jc w:val="both"/>
              <w:rPr>
                <w:szCs w:val="17"/>
              </w:rPr>
            </w:pPr>
            <w:r>
              <w:rPr>
                <w:rFonts w:eastAsia="Calibri" w:cs="Segoe UI"/>
                <w:i/>
                <w:szCs w:val="17"/>
                <w:lang w:eastAsia="en-GB"/>
              </w:rPr>
              <w:t>Segregated</w:t>
            </w:r>
            <w:r>
              <w:rPr>
                <w:rFonts w:eastAsia="Calibri" w:cs="Segoe UI"/>
                <w:szCs w:val="17"/>
                <w:lang w:eastAsia="en-GB"/>
              </w:rPr>
              <w:t>: this refers to collateral which is held in a bankruptcy remote manner.</w:t>
            </w:r>
          </w:p>
        </w:tc>
      </w:tr>
      <w:tr w:rsidR="002A0515" w:rsidTr="00A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8" w:type="dxa"/>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(b) &amp; (d)</w:t>
            </w:r>
          </w:p>
        </w:tc>
        <w:tc>
          <w:tcPr>
            <w:tcW w:w="8363" w:type="dxa"/>
            <w:gridSpan w:val="7"/>
          </w:tcPr>
          <w:p w:rsidR="002A0515" w:rsidRDefault="002A0515" w:rsidP="00A54BE4">
            <w:pPr>
              <w:pStyle w:val="TableText"/>
              <w:keepNext/>
              <w:jc w:val="both"/>
              <w:rPr>
                <w:rFonts w:eastAsia="Calibri" w:cs="Segoe UI"/>
                <w:i/>
                <w:szCs w:val="17"/>
                <w:lang w:eastAsia="en-GB"/>
              </w:rPr>
            </w:pPr>
            <w:r>
              <w:rPr>
                <w:rFonts w:eastAsia="Calibri" w:cs="Segoe UI"/>
                <w:i/>
                <w:szCs w:val="17"/>
                <w:lang w:eastAsia="en-GB"/>
              </w:rPr>
              <w:t>Unsegregated</w:t>
            </w:r>
            <w:r>
              <w:rPr>
                <w:rFonts w:eastAsia="Calibri" w:cs="Segoe UI"/>
                <w:szCs w:val="17"/>
                <w:lang w:eastAsia="en-GB"/>
              </w:rPr>
              <w:t>: this refers to collateral which is not held in a bankruptcy remote manner.</w:t>
            </w:r>
          </w:p>
        </w:tc>
      </w:tr>
    </w:tbl>
    <w:p w:rsidR="002A0515" w:rsidRDefault="002A0515" w:rsidP="002A0515">
      <w:pPr>
        <w:spacing w:before="120" w:after="120"/>
        <w:rPr>
          <w:sz w:val="22"/>
        </w:rPr>
      </w:pPr>
    </w:p>
    <w:p w:rsidR="002A0515" w:rsidRDefault="002A0515" w:rsidP="002A0515">
      <w:pPr>
        <w:rPr>
          <w:rFonts w:eastAsia="新細明體"/>
          <w:lang w:eastAsia="zh-TW"/>
        </w:rPr>
      </w:pPr>
    </w:p>
    <w:p w:rsidR="002A0515" w:rsidRDefault="002A0515" w:rsidP="002A0515">
      <w:pPr>
        <w:spacing w:before="40" w:after="40"/>
        <w:rPr>
          <w:rFonts w:eastAsia="新細明體"/>
          <w:lang w:eastAsia="zh-TW"/>
        </w:rPr>
        <w:sectPr w:rsidR="002A0515" w:rsidSect="00A54BE4">
          <w:footerReference w:type="default" r:id="rId21"/>
          <w:pgSz w:w="11906" w:h="16838" w:code="9"/>
          <w:pgMar w:top="1440" w:right="1700" w:bottom="1440" w:left="1797" w:header="851" w:footer="737" w:gutter="0"/>
          <w:cols w:space="425"/>
          <w:docGrid w:type="linesAndChar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A0515" w:rsidTr="00A54BE4">
        <w:tc>
          <w:tcPr>
            <w:tcW w:w="9242" w:type="dxa"/>
            <w:gridSpan w:val="2"/>
            <w:tcBorders>
              <w:top w:val="nil"/>
            </w:tcBorders>
          </w:tcPr>
          <w:p w:rsidR="002A0515" w:rsidRDefault="002A0515" w:rsidP="00A54BE4">
            <w:pPr>
              <w:spacing w:before="40" w:after="40"/>
              <w:rPr>
                <w:noProof/>
                <w:sz w:val="17"/>
                <w:lang w:eastAsia="en-GB"/>
              </w:rPr>
            </w:pPr>
            <w:r>
              <w:rPr>
                <w:rFonts w:eastAsia="新細明體"/>
                <w:lang w:eastAsia="zh-TW"/>
              </w:rPr>
              <w:br w:type="page"/>
            </w:r>
            <w:r>
              <w:rPr>
                <w:sz w:val="22"/>
              </w:rPr>
              <w:t>Template CCR6: Credit-related derivatives contracts</w:t>
            </w:r>
          </w:p>
        </w:tc>
      </w:tr>
      <w:tr w:rsidR="002A0515" w:rsidTr="00A54BE4">
        <w:tc>
          <w:tcPr>
            <w:tcW w:w="2008" w:type="dxa"/>
          </w:tcPr>
          <w:p w:rsidR="002A0515" w:rsidRDefault="002A0515" w:rsidP="00A54BE4">
            <w:pPr>
              <w:spacing w:before="40" w:after="40"/>
              <w:rPr>
                <w:noProof/>
                <w:sz w:val="17"/>
                <w:lang w:eastAsia="en-GB"/>
              </w:rPr>
            </w:pPr>
            <w:r>
              <w:rPr>
                <w:b/>
                <w:sz w:val="17"/>
                <w:lang w:eastAsia="en-GB"/>
              </w:rPr>
              <w:t>Purpose:</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To disclose the amount of credit-related derivative contracts, broken down into credit protection bought and credit protection sold.</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Scope of application: </w:t>
            </w:r>
          </w:p>
        </w:tc>
        <w:tc>
          <w:tcPr>
            <w:tcW w:w="7234" w:type="dxa"/>
          </w:tcPr>
          <w:p w:rsidR="002A0515" w:rsidRDefault="002A0515" w:rsidP="00A54BE4">
            <w:pPr>
              <w:spacing w:before="40" w:after="40"/>
              <w:jc w:val="both"/>
              <w:rPr>
                <w:rFonts w:eastAsia="新細明體"/>
                <w:b/>
                <w:sz w:val="17"/>
                <w:lang w:eastAsia="en-GB"/>
              </w:rPr>
            </w:pPr>
            <w:r>
              <w:rPr>
                <w:rFonts w:eastAsia="新細明體"/>
                <w:sz w:val="17"/>
                <w:lang w:eastAsia="en-GB"/>
              </w:rPr>
              <w:t>This template is mandatory for all AIs</w:t>
            </w:r>
            <w:r>
              <w:t xml:space="preserve"> </w:t>
            </w:r>
            <w:r>
              <w:rPr>
                <w:rFonts w:eastAsia="新細明體"/>
                <w:sz w:val="17"/>
                <w:lang w:eastAsia="en-GB"/>
              </w:rPr>
              <w:t>incorporated in Hong Kong.</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Content: </w:t>
            </w:r>
          </w:p>
        </w:tc>
        <w:tc>
          <w:tcPr>
            <w:tcW w:w="7234" w:type="dxa"/>
          </w:tcPr>
          <w:p w:rsidR="002A0515" w:rsidRDefault="002A0515" w:rsidP="00A54BE4">
            <w:pPr>
              <w:spacing w:before="40" w:after="40"/>
              <w:jc w:val="both"/>
              <w:rPr>
                <w:rFonts w:eastAsia="新細明體"/>
                <w:b/>
                <w:sz w:val="17"/>
                <w:lang w:eastAsia="en-GB"/>
              </w:rPr>
            </w:pPr>
            <w:r>
              <w:rPr>
                <w:rFonts w:eastAsia="新細明體"/>
                <w:sz w:val="17"/>
                <w:lang w:eastAsia="en-GB"/>
              </w:rPr>
              <w:t>Notional amounts (before any netting) and fair values of credit-related derivative contracts</w:t>
            </w:r>
          </w:p>
        </w:tc>
      </w:tr>
      <w:tr w:rsidR="002A0515" w:rsidTr="00A54BE4">
        <w:tc>
          <w:tcPr>
            <w:tcW w:w="2008" w:type="dxa"/>
          </w:tcPr>
          <w:p w:rsidR="002A0515" w:rsidRDefault="002A0515" w:rsidP="00A54BE4">
            <w:pPr>
              <w:spacing w:before="40" w:after="40"/>
              <w:rPr>
                <w:sz w:val="17"/>
                <w:lang w:eastAsia="en-GB"/>
              </w:rPr>
            </w:pPr>
            <w:r>
              <w:rPr>
                <w:b/>
                <w:sz w:val="17"/>
                <w:lang w:eastAsia="en-GB"/>
              </w:rPr>
              <w:t>Frequency:</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Semi-annual.</w:t>
            </w:r>
          </w:p>
        </w:tc>
      </w:tr>
      <w:tr w:rsidR="002A0515" w:rsidTr="00A54BE4">
        <w:tc>
          <w:tcPr>
            <w:tcW w:w="2008" w:type="dxa"/>
          </w:tcPr>
          <w:p w:rsidR="002A0515" w:rsidRDefault="002A0515" w:rsidP="00A54BE4">
            <w:pPr>
              <w:spacing w:before="40" w:after="40"/>
              <w:rPr>
                <w:sz w:val="17"/>
                <w:lang w:eastAsia="en-GB"/>
              </w:rPr>
            </w:pPr>
            <w:r>
              <w:rPr>
                <w:b/>
                <w:sz w:val="17"/>
                <w:lang w:eastAsia="en-GB"/>
              </w:rPr>
              <w:t>Format:</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Flexible.  The columns are fixed but the rows (other than the “Total notional amounts” and those related to fair values) are flexible.</w:t>
            </w:r>
          </w:p>
        </w:tc>
      </w:tr>
      <w:tr w:rsidR="002A0515" w:rsidTr="00A54BE4">
        <w:tc>
          <w:tcPr>
            <w:tcW w:w="2008" w:type="dxa"/>
          </w:tcPr>
          <w:p w:rsidR="002A0515" w:rsidRDefault="002A0515" w:rsidP="00A54BE4">
            <w:pPr>
              <w:spacing w:before="40" w:after="40"/>
              <w:rPr>
                <w:b/>
                <w:sz w:val="17"/>
                <w:lang w:eastAsia="en-GB"/>
              </w:rPr>
            </w:pPr>
            <w:r>
              <w:rPr>
                <w:rFonts w:eastAsia="新細明體"/>
                <w:b/>
                <w:sz w:val="17"/>
                <w:szCs w:val="17"/>
                <w:lang w:eastAsia="en-GB"/>
              </w:rPr>
              <w:t>Accompanying narrative</w:t>
            </w:r>
            <w:r>
              <w:rPr>
                <w:rFonts w:eastAsia="新細明體"/>
                <w:sz w:val="17"/>
                <w:szCs w:val="17"/>
                <w:lang w:eastAsia="en-GB"/>
              </w:rPr>
              <w:t>:</w:t>
            </w:r>
          </w:p>
        </w:tc>
        <w:tc>
          <w:tcPr>
            <w:tcW w:w="7234" w:type="dxa"/>
          </w:tcPr>
          <w:p w:rsidR="002A0515" w:rsidRDefault="002A0515" w:rsidP="00A54BE4">
            <w:pPr>
              <w:pStyle w:val="TableText"/>
              <w:jc w:val="both"/>
              <w:rPr>
                <w:lang w:eastAsia="en-GB"/>
              </w:rPr>
            </w:pPr>
            <w:r>
              <w:rPr>
                <w:szCs w:val="17"/>
                <w:lang w:eastAsia="en-GB"/>
              </w:rPr>
              <w:t>An AI should supplement the template with a narrative commentary to explain any material movements in the current reporting period and the key drivers of such movements.</w:t>
            </w:r>
          </w:p>
        </w:tc>
      </w:tr>
      <w:tr w:rsidR="002A0515" w:rsidTr="00A54BE4">
        <w:tc>
          <w:tcPr>
            <w:tcW w:w="2008" w:type="dxa"/>
          </w:tcPr>
          <w:p w:rsidR="002A0515" w:rsidRDefault="002A0515" w:rsidP="00A54BE4">
            <w:pPr>
              <w:spacing w:before="40" w:after="40"/>
              <w:rPr>
                <w:rFonts w:eastAsia="新細明體"/>
                <w:b/>
                <w:sz w:val="17"/>
                <w:szCs w:val="17"/>
                <w:lang w:eastAsia="en-GB"/>
              </w:rPr>
            </w:pPr>
            <w:r>
              <w:rPr>
                <w:rFonts w:eastAsia="新細明體"/>
                <w:b/>
                <w:sz w:val="17"/>
                <w:szCs w:val="17"/>
                <w:lang w:eastAsia="en-GB"/>
              </w:rPr>
              <w:t>Corresponding BDR section:</w:t>
            </w:r>
          </w:p>
        </w:tc>
        <w:tc>
          <w:tcPr>
            <w:tcW w:w="7234" w:type="dxa"/>
          </w:tcPr>
          <w:p w:rsidR="002A0515" w:rsidRDefault="002A0515" w:rsidP="00A54BE4">
            <w:pPr>
              <w:pStyle w:val="TableText"/>
              <w:jc w:val="both"/>
              <w:rPr>
                <w:szCs w:val="17"/>
                <w:lang w:eastAsia="en-GB"/>
              </w:rPr>
            </w:pPr>
            <w:r>
              <w:rPr>
                <w:szCs w:val="17"/>
                <w:lang w:eastAsia="en-GB"/>
              </w:rPr>
              <w:t>16ZB</w:t>
            </w:r>
          </w:p>
        </w:tc>
      </w:tr>
    </w:tbl>
    <w:p w:rsidR="002A0515" w:rsidRDefault="002A0515" w:rsidP="002A0515">
      <w:pPr>
        <w:spacing w:before="120" w:after="120"/>
        <w:ind w:leftChars="-283" w:left="-566"/>
        <w:rPr>
          <w:sz w:val="22"/>
        </w:rPr>
      </w:pPr>
    </w:p>
    <w:tbl>
      <w:tblPr>
        <w:tblW w:w="9214" w:type="dxa"/>
        <w:tblInd w:w="-459" w:type="dxa"/>
        <w:tblBorders>
          <w:top w:val="single" w:sz="4" w:space="0" w:color="BCBDBC"/>
          <w:left w:val="single" w:sz="4" w:space="0" w:color="BFBFBF"/>
          <w:bottom w:val="single" w:sz="4" w:space="0" w:color="BCBDBC"/>
          <w:right w:val="single" w:sz="4" w:space="0" w:color="BFBFBF"/>
          <w:insideH w:val="single" w:sz="4" w:space="0" w:color="BCBDBC"/>
          <w:insideV w:val="single" w:sz="4" w:space="0" w:color="BCBDBC"/>
        </w:tblBorders>
        <w:tblLayout w:type="fixed"/>
        <w:tblLook w:val="00A0" w:firstRow="1" w:lastRow="0" w:firstColumn="1" w:lastColumn="0" w:noHBand="0" w:noVBand="0"/>
      </w:tblPr>
      <w:tblGrid>
        <w:gridCol w:w="4927"/>
        <w:gridCol w:w="2143"/>
        <w:gridCol w:w="2144"/>
      </w:tblGrid>
      <w:tr w:rsidR="002A0515" w:rsidTr="00A54BE4">
        <w:trPr>
          <w:cantSplit/>
          <w:tblHeader/>
        </w:trPr>
        <w:tc>
          <w:tcPr>
            <w:tcW w:w="4927" w:type="dxa"/>
            <w:tcBorders>
              <w:top w:val="nil"/>
              <w:left w:val="nil"/>
              <w:bottom w:val="nil"/>
              <w:right w:val="single" w:sz="4" w:space="0" w:color="auto"/>
            </w:tcBorders>
            <w:vAlign w:val="center"/>
          </w:tcPr>
          <w:p w:rsidR="002A0515" w:rsidRDefault="002A0515" w:rsidP="00A54BE4">
            <w:pPr>
              <w:pStyle w:val="TableText"/>
              <w:snapToGrid w:val="0"/>
              <w:rPr>
                <w:lang w:eastAsia="en-GB"/>
              </w:rPr>
            </w:pPr>
          </w:p>
        </w:tc>
        <w:tc>
          <w:tcPr>
            <w:tcW w:w="2143"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szCs w:val="17"/>
                <w:lang w:eastAsia="it-IT"/>
              </w:rPr>
            </w:pPr>
            <w:r>
              <w:rPr>
                <w:bCs/>
                <w:szCs w:val="17"/>
                <w:lang w:eastAsia="it-IT"/>
              </w:rPr>
              <w:t>(a)</w:t>
            </w:r>
          </w:p>
        </w:tc>
        <w:tc>
          <w:tcPr>
            <w:tcW w:w="2144"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szCs w:val="17"/>
                <w:lang w:eastAsia="it-IT"/>
              </w:rPr>
            </w:pPr>
            <w:r>
              <w:rPr>
                <w:szCs w:val="17"/>
                <w:lang w:eastAsia="it-IT"/>
              </w:rPr>
              <w:t>(b)</w:t>
            </w:r>
          </w:p>
        </w:tc>
      </w:tr>
      <w:tr w:rsidR="002A0515" w:rsidTr="00A54BE4">
        <w:trPr>
          <w:cantSplit/>
          <w:tblHeader/>
        </w:trPr>
        <w:tc>
          <w:tcPr>
            <w:tcW w:w="4927" w:type="dxa"/>
            <w:tcBorders>
              <w:top w:val="nil"/>
              <w:left w:val="nil"/>
              <w:bottom w:val="single" w:sz="4" w:space="0" w:color="auto"/>
              <w:right w:val="single" w:sz="4" w:space="0" w:color="auto"/>
            </w:tcBorders>
            <w:vAlign w:val="center"/>
          </w:tcPr>
          <w:p w:rsidR="002A0515" w:rsidRDefault="002A0515" w:rsidP="00A54BE4">
            <w:pPr>
              <w:pStyle w:val="TableText"/>
              <w:snapToGrid w:val="0"/>
              <w:rPr>
                <w:lang w:eastAsia="en-GB"/>
              </w:rPr>
            </w:pPr>
          </w:p>
        </w:tc>
        <w:tc>
          <w:tcPr>
            <w:tcW w:w="2143"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noProof/>
                <w:szCs w:val="17"/>
                <w:lang w:eastAsia="it-IT"/>
              </w:rPr>
            </w:pPr>
            <w:r>
              <w:rPr>
                <w:bCs/>
                <w:szCs w:val="17"/>
                <w:lang w:eastAsia="it-IT"/>
              </w:rPr>
              <w:t>Protection bought</w:t>
            </w:r>
          </w:p>
        </w:tc>
        <w:tc>
          <w:tcPr>
            <w:tcW w:w="2144"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noProof/>
                <w:szCs w:val="17"/>
                <w:lang w:eastAsia="it-IT"/>
              </w:rPr>
            </w:pPr>
            <w:r>
              <w:rPr>
                <w:szCs w:val="17"/>
                <w:lang w:eastAsia="it-IT"/>
              </w:rPr>
              <w:t>Protection sold</w:t>
            </w:r>
          </w:p>
        </w:tc>
      </w:tr>
      <w:tr w:rsidR="002A0515" w:rsidTr="00A54BE4">
        <w:trPr>
          <w:cantSplit/>
        </w:trPr>
        <w:tc>
          <w:tcPr>
            <w:tcW w:w="4927" w:type="dxa"/>
            <w:tcBorders>
              <w:top w:val="single" w:sz="4" w:space="0" w:color="auto"/>
              <w:left w:val="nil"/>
              <w:right w:val="single" w:sz="4" w:space="0" w:color="auto"/>
            </w:tcBorders>
          </w:tcPr>
          <w:p w:rsidR="002A0515" w:rsidRDefault="002A0515" w:rsidP="00A54BE4">
            <w:pPr>
              <w:pStyle w:val="TableText"/>
              <w:snapToGrid w:val="0"/>
              <w:rPr>
                <w:b/>
                <w:noProof/>
                <w:sz w:val="18"/>
                <w:szCs w:val="18"/>
                <w:lang w:eastAsia="en-GB"/>
              </w:rPr>
            </w:pPr>
            <w:r>
              <w:rPr>
                <w:b/>
                <w:sz w:val="18"/>
                <w:szCs w:val="18"/>
                <w:lang w:eastAsia="en-GB"/>
              </w:rPr>
              <w:t>Notional amounts</w:t>
            </w:r>
          </w:p>
        </w:tc>
        <w:tc>
          <w:tcPr>
            <w:tcW w:w="2143" w:type="dxa"/>
            <w:tcBorders>
              <w:top w:val="single" w:sz="4" w:space="0" w:color="auto"/>
              <w:left w:val="single" w:sz="4" w:space="0" w:color="auto"/>
              <w:right w:val="single" w:sz="4" w:space="0" w:color="auto"/>
            </w:tcBorders>
            <w:shd w:val="clear" w:color="auto" w:fill="D9D9D9"/>
          </w:tcPr>
          <w:p w:rsidR="002A0515" w:rsidRDefault="002A0515" w:rsidP="00A54BE4">
            <w:pPr>
              <w:pStyle w:val="TableText"/>
              <w:snapToGrid w:val="0"/>
              <w:rPr>
                <w:lang w:eastAsia="en-GB"/>
              </w:rPr>
            </w:pPr>
          </w:p>
        </w:tc>
        <w:tc>
          <w:tcPr>
            <w:tcW w:w="2144" w:type="dxa"/>
            <w:tcBorders>
              <w:top w:val="single" w:sz="4" w:space="0" w:color="auto"/>
              <w:left w:val="single" w:sz="4" w:space="0" w:color="auto"/>
              <w:right w:val="single" w:sz="4" w:space="0" w:color="auto"/>
            </w:tcBorders>
            <w:shd w:val="clear" w:color="auto" w:fill="D9D9D9"/>
          </w:tcPr>
          <w:p w:rsidR="002A0515" w:rsidRDefault="002A0515" w:rsidP="00A54BE4">
            <w:pPr>
              <w:pStyle w:val="TableText"/>
              <w:snapToGrid w:val="0"/>
              <w:rPr>
                <w:lang w:eastAsia="en-GB"/>
              </w:rPr>
            </w:pPr>
          </w:p>
        </w:tc>
      </w:tr>
      <w:tr w:rsidR="002A0515" w:rsidTr="00A54BE4">
        <w:trPr>
          <w:cantSplit/>
        </w:trPr>
        <w:tc>
          <w:tcPr>
            <w:tcW w:w="4927" w:type="dxa"/>
            <w:tcBorders>
              <w:left w:val="nil"/>
              <w:right w:val="single" w:sz="4" w:space="0" w:color="auto"/>
            </w:tcBorders>
          </w:tcPr>
          <w:p w:rsidR="002A0515" w:rsidRDefault="002A0515" w:rsidP="00A54BE4">
            <w:pPr>
              <w:pStyle w:val="TableText"/>
              <w:snapToGrid w:val="0"/>
              <w:rPr>
                <w:noProof/>
                <w:sz w:val="18"/>
                <w:szCs w:val="18"/>
                <w:lang w:eastAsia="en-GB"/>
              </w:rPr>
            </w:pPr>
            <w:r>
              <w:rPr>
                <w:sz w:val="18"/>
                <w:szCs w:val="18"/>
                <w:lang w:eastAsia="en-GB"/>
              </w:rPr>
              <w:t xml:space="preserve">  Single-name credit default swaps</w:t>
            </w:r>
          </w:p>
        </w:tc>
        <w:tc>
          <w:tcPr>
            <w:tcW w:w="2143" w:type="dxa"/>
            <w:tcBorders>
              <w:left w:val="single" w:sz="4" w:space="0" w:color="auto"/>
              <w:right w:val="single" w:sz="4" w:space="0" w:color="auto"/>
            </w:tcBorders>
          </w:tcPr>
          <w:p w:rsidR="002A0515" w:rsidRDefault="002A0515" w:rsidP="00A54BE4">
            <w:pPr>
              <w:pStyle w:val="TableText"/>
              <w:snapToGrid w:val="0"/>
              <w:rPr>
                <w:lang w:eastAsia="en-GB"/>
              </w:rPr>
            </w:pPr>
          </w:p>
        </w:tc>
        <w:tc>
          <w:tcPr>
            <w:tcW w:w="2144"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4927" w:type="dxa"/>
            <w:tcBorders>
              <w:left w:val="nil"/>
              <w:right w:val="single" w:sz="4" w:space="0" w:color="auto"/>
            </w:tcBorders>
          </w:tcPr>
          <w:p w:rsidR="002A0515" w:rsidRDefault="002A0515" w:rsidP="00A54BE4">
            <w:pPr>
              <w:pStyle w:val="TableText"/>
              <w:snapToGrid w:val="0"/>
              <w:rPr>
                <w:noProof/>
                <w:sz w:val="18"/>
                <w:szCs w:val="18"/>
                <w:lang w:eastAsia="en-GB"/>
              </w:rPr>
            </w:pPr>
            <w:r>
              <w:rPr>
                <w:sz w:val="18"/>
                <w:szCs w:val="18"/>
                <w:lang w:eastAsia="en-GB"/>
              </w:rPr>
              <w:t xml:space="preserve">  Index credit default swaps</w:t>
            </w:r>
          </w:p>
        </w:tc>
        <w:tc>
          <w:tcPr>
            <w:tcW w:w="2143" w:type="dxa"/>
            <w:tcBorders>
              <w:left w:val="single" w:sz="4" w:space="0" w:color="auto"/>
              <w:right w:val="single" w:sz="4" w:space="0" w:color="auto"/>
            </w:tcBorders>
          </w:tcPr>
          <w:p w:rsidR="002A0515" w:rsidRDefault="002A0515" w:rsidP="00A54BE4">
            <w:pPr>
              <w:pStyle w:val="TableText"/>
              <w:snapToGrid w:val="0"/>
              <w:rPr>
                <w:lang w:eastAsia="en-GB"/>
              </w:rPr>
            </w:pPr>
          </w:p>
        </w:tc>
        <w:tc>
          <w:tcPr>
            <w:tcW w:w="2144"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4927" w:type="dxa"/>
            <w:tcBorders>
              <w:left w:val="nil"/>
              <w:right w:val="single" w:sz="4" w:space="0" w:color="auto"/>
            </w:tcBorders>
          </w:tcPr>
          <w:p w:rsidR="002A0515" w:rsidRDefault="002A0515" w:rsidP="00A54BE4">
            <w:pPr>
              <w:pStyle w:val="TableText"/>
              <w:snapToGrid w:val="0"/>
              <w:rPr>
                <w:noProof/>
                <w:sz w:val="18"/>
                <w:szCs w:val="18"/>
                <w:lang w:eastAsia="en-GB"/>
              </w:rPr>
            </w:pPr>
            <w:r>
              <w:rPr>
                <w:sz w:val="18"/>
                <w:szCs w:val="18"/>
                <w:lang w:eastAsia="en-GB"/>
              </w:rPr>
              <w:t xml:space="preserve">  Total return swaps</w:t>
            </w:r>
          </w:p>
        </w:tc>
        <w:tc>
          <w:tcPr>
            <w:tcW w:w="2143" w:type="dxa"/>
            <w:tcBorders>
              <w:left w:val="single" w:sz="4" w:space="0" w:color="auto"/>
              <w:right w:val="single" w:sz="4" w:space="0" w:color="auto"/>
            </w:tcBorders>
          </w:tcPr>
          <w:p w:rsidR="002A0515" w:rsidRDefault="002A0515" w:rsidP="00A54BE4">
            <w:pPr>
              <w:pStyle w:val="TableText"/>
              <w:snapToGrid w:val="0"/>
              <w:rPr>
                <w:lang w:eastAsia="en-GB"/>
              </w:rPr>
            </w:pPr>
          </w:p>
        </w:tc>
        <w:tc>
          <w:tcPr>
            <w:tcW w:w="2144"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4927" w:type="dxa"/>
            <w:tcBorders>
              <w:left w:val="nil"/>
              <w:right w:val="single" w:sz="4" w:space="0" w:color="auto"/>
            </w:tcBorders>
          </w:tcPr>
          <w:p w:rsidR="002A0515" w:rsidRDefault="002A0515" w:rsidP="00A54BE4">
            <w:pPr>
              <w:pStyle w:val="TableText"/>
              <w:snapToGrid w:val="0"/>
              <w:rPr>
                <w:noProof/>
                <w:sz w:val="18"/>
                <w:szCs w:val="18"/>
                <w:lang w:eastAsia="en-GB"/>
              </w:rPr>
            </w:pPr>
            <w:r>
              <w:rPr>
                <w:sz w:val="18"/>
                <w:szCs w:val="18"/>
                <w:lang w:eastAsia="en-GB"/>
              </w:rPr>
              <w:t xml:space="preserve">  Credit-related options</w:t>
            </w:r>
          </w:p>
        </w:tc>
        <w:tc>
          <w:tcPr>
            <w:tcW w:w="2143" w:type="dxa"/>
            <w:tcBorders>
              <w:left w:val="single" w:sz="4" w:space="0" w:color="auto"/>
              <w:right w:val="single" w:sz="4" w:space="0" w:color="auto"/>
            </w:tcBorders>
          </w:tcPr>
          <w:p w:rsidR="002A0515" w:rsidRDefault="002A0515" w:rsidP="00A54BE4">
            <w:pPr>
              <w:pStyle w:val="TableText"/>
              <w:snapToGrid w:val="0"/>
              <w:rPr>
                <w:lang w:eastAsia="en-GB"/>
              </w:rPr>
            </w:pPr>
          </w:p>
        </w:tc>
        <w:tc>
          <w:tcPr>
            <w:tcW w:w="2144"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4927" w:type="dxa"/>
            <w:tcBorders>
              <w:left w:val="nil"/>
              <w:right w:val="single" w:sz="4" w:space="0" w:color="auto"/>
            </w:tcBorders>
          </w:tcPr>
          <w:p w:rsidR="002A0515" w:rsidRDefault="002A0515" w:rsidP="00A54BE4">
            <w:pPr>
              <w:pStyle w:val="TableText"/>
              <w:snapToGrid w:val="0"/>
              <w:rPr>
                <w:noProof/>
                <w:sz w:val="18"/>
                <w:szCs w:val="18"/>
                <w:lang w:eastAsia="en-GB"/>
              </w:rPr>
            </w:pPr>
            <w:r>
              <w:rPr>
                <w:sz w:val="18"/>
                <w:szCs w:val="18"/>
                <w:lang w:eastAsia="en-GB"/>
              </w:rPr>
              <w:t xml:space="preserve">  Other credit-related derivative contracts</w:t>
            </w:r>
          </w:p>
        </w:tc>
        <w:tc>
          <w:tcPr>
            <w:tcW w:w="2143" w:type="dxa"/>
            <w:tcBorders>
              <w:left w:val="single" w:sz="4" w:space="0" w:color="auto"/>
              <w:right w:val="single" w:sz="4" w:space="0" w:color="auto"/>
            </w:tcBorders>
          </w:tcPr>
          <w:p w:rsidR="002A0515" w:rsidRDefault="002A0515" w:rsidP="00A54BE4">
            <w:pPr>
              <w:pStyle w:val="TableText"/>
              <w:snapToGrid w:val="0"/>
              <w:rPr>
                <w:lang w:eastAsia="en-GB"/>
              </w:rPr>
            </w:pPr>
          </w:p>
        </w:tc>
        <w:tc>
          <w:tcPr>
            <w:tcW w:w="2144"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4927" w:type="dxa"/>
            <w:tcBorders>
              <w:left w:val="nil"/>
              <w:right w:val="single" w:sz="4" w:space="0" w:color="auto"/>
            </w:tcBorders>
          </w:tcPr>
          <w:p w:rsidR="002A0515" w:rsidRDefault="002A0515" w:rsidP="00A54BE4">
            <w:pPr>
              <w:pStyle w:val="TableText"/>
              <w:snapToGrid w:val="0"/>
              <w:ind w:firstLineChars="100" w:firstLine="180"/>
              <w:rPr>
                <w:b/>
                <w:noProof/>
                <w:sz w:val="18"/>
                <w:szCs w:val="18"/>
                <w:lang w:eastAsia="en-GB"/>
              </w:rPr>
            </w:pPr>
            <w:r>
              <w:rPr>
                <w:b/>
                <w:sz w:val="18"/>
                <w:szCs w:val="18"/>
                <w:lang w:eastAsia="en-GB"/>
              </w:rPr>
              <w:t>Total notional amounts</w:t>
            </w:r>
          </w:p>
        </w:tc>
        <w:tc>
          <w:tcPr>
            <w:tcW w:w="2143" w:type="dxa"/>
            <w:tcBorders>
              <w:left w:val="single" w:sz="4" w:space="0" w:color="auto"/>
              <w:right w:val="single" w:sz="4" w:space="0" w:color="auto"/>
            </w:tcBorders>
          </w:tcPr>
          <w:p w:rsidR="002A0515" w:rsidRDefault="002A0515" w:rsidP="00A54BE4">
            <w:pPr>
              <w:pStyle w:val="TableText"/>
              <w:snapToGrid w:val="0"/>
              <w:rPr>
                <w:lang w:eastAsia="en-GB"/>
              </w:rPr>
            </w:pPr>
          </w:p>
        </w:tc>
        <w:tc>
          <w:tcPr>
            <w:tcW w:w="2144"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4927" w:type="dxa"/>
            <w:tcBorders>
              <w:left w:val="nil"/>
              <w:right w:val="single" w:sz="4" w:space="0" w:color="auto"/>
            </w:tcBorders>
          </w:tcPr>
          <w:p w:rsidR="002A0515" w:rsidRDefault="002A0515" w:rsidP="00A54BE4">
            <w:pPr>
              <w:pStyle w:val="TableText"/>
              <w:snapToGrid w:val="0"/>
              <w:rPr>
                <w:b/>
                <w:noProof/>
                <w:sz w:val="18"/>
                <w:szCs w:val="18"/>
                <w:lang w:eastAsia="en-GB"/>
              </w:rPr>
            </w:pPr>
            <w:r>
              <w:rPr>
                <w:b/>
                <w:sz w:val="18"/>
                <w:szCs w:val="18"/>
                <w:lang w:eastAsia="en-GB"/>
              </w:rPr>
              <w:t>Fair values</w:t>
            </w:r>
          </w:p>
        </w:tc>
        <w:tc>
          <w:tcPr>
            <w:tcW w:w="2143" w:type="dxa"/>
            <w:tcBorders>
              <w:left w:val="single" w:sz="4" w:space="0" w:color="auto"/>
              <w:right w:val="single" w:sz="4" w:space="0" w:color="auto"/>
            </w:tcBorders>
            <w:shd w:val="clear" w:color="auto" w:fill="D9D9D9"/>
          </w:tcPr>
          <w:p w:rsidR="002A0515" w:rsidRDefault="002A0515" w:rsidP="00A54BE4">
            <w:pPr>
              <w:pStyle w:val="TableText"/>
              <w:snapToGrid w:val="0"/>
              <w:rPr>
                <w:lang w:eastAsia="en-GB"/>
              </w:rPr>
            </w:pPr>
          </w:p>
        </w:tc>
        <w:tc>
          <w:tcPr>
            <w:tcW w:w="2144" w:type="dxa"/>
            <w:tcBorders>
              <w:left w:val="single" w:sz="4" w:space="0" w:color="auto"/>
              <w:right w:val="single" w:sz="4" w:space="0" w:color="auto"/>
            </w:tcBorders>
            <w:shd w:val="clear" w:color="auto" w:fill="D9D9D9"/>
          </w:tcPr>
          <w:p w:rsidR="002A0515" w:rsidRDefault="002A0515" w:rsidP="00A54BE4">
            <w:pPr>
              <w:pStyle w:val="TableText"/>
              <w:snapToGrid w:val="0"/>
              <w:rPr>
                <w:lang w:eastAsia="en-GB"/>
              </w:rPr>
            </w:pPr>
          </w:p>
        </w:tc>
      </w:tr>
      <w:tr w:rsidR="002A0515" w:rsidTr="00A54BE4">
        <w:trPr>
          <w:cantSplit/>
        </w:trPr>
        <w:tc>
          <w:tcPr>
            <w:tcW w:w="4927" w:type="dxa"/>
            <w:tcBorders>
              <w:left w:val="nil"/>
              <w:bottom w:val="single" w:sz="4" w:space="0" w:color="BCBDBC"/>
              <w:right w:val="single" w:sz="4" w:space="0" w:color="auto"/>
            </w:tcBorders>
          </w:tcPr>
          <w:p w:rsidR="002A0515" w:rsidRDefault="002A0515" w:rsidP="00A54BE4">
            <w:pPr>
              <w:pStyle w:val="TableText"/>
              <w:snapToGrid w:val="0"/>
              <w:ind w:firstLine="176"/>
              <w:rPr>
                <w:noProof/>
                <w:sz w:val="18"/>
                <w:szCs w:val="18"/>
                <w:lang w:eastAsia="en-GB"/>
              </w:rPr>
            </w:pPr>
            <w:r>
              <w:rPr>
                <w:sz w:val="18"/>
                <w:szCs w:val="18"/>
                <w:lang w:eastAsia="en-GB"/>
              </w:rPr>
              <w:t>Positive fair value (asset)</w:t>
            </w:r>
          </w:p>
        </w:tc>
        <w:tc>
          <w:tcPr>
            <w:tcW w:w="2143" w:type="dxa"/>
            <w:tcBorders>
              <w:left w:val="single" w:sz="4" w:space="0" w:color="auto"/>
              <w:bottom w:val="single" w:sz="4" w:space="0" w:color="BCBDBC"/>
              <w:right w:val="single" w:sz="4" w:space="0" w:color="auto"/>
            </w:tcBorders>
          </w:tcPr>
          <w:p w:rsidR="002A0515" w:rsidRDefault="002A0515" w:rsidP="00A54BE4">
            <w:pPr>
              <w:pStyle w:val="TableText"/>
              <w:snapToGrid w:val="0"/>
              <w:rPr>
                <w:lang w:eastAsia="en-GB"/>
              </w:rPr>
            </w:pPr>
          </w:p>
        </w:tc>
        <w:tc>
          <w:tcPr>
            <w:tcW w:w="2144" w:type="dxa"/>
            <w:tcBorders>
              <w:left w:val="single" w:sz="4" w:space="0" w:color="auto"/>
              <w:bottom w:val="single" w:sz="4" w:space="0" w:color="BCBDBC"/>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4927" w:type="dxa"/>
            <w:tcBorders>
              <w:left w:val="nil"/>
              <w:bottom w:val="single" w:sz="4" w:space="0" w:color="auto"/>
              <w:right w:val="single" w:sz="4" w:space="0" w:color="auto"/>
            </w:tcBorders>
          </w:tcPr>
          <w:p w:rsidR="002A0515" w:rsidRDefault="002A0515" w:rsidP="00A54BE4">
            <w:pPr>
              <w:pStyle w:val="TableText"/>
              <w:snapToGrid w:val="0"/>
              <w:ind w:firstLine="176"/>
              <w:rPr>
                <w:noProof/>
                <w:sz w:val="18"/>
                <w:szCs w:val="18"/>
                <w:lang w:eastAsia="en-GB"/>
              </w:rPr>
            </w:pPr>
            <w:r>
              <w:rPr>
                <w:sz w:val="18"/>
                <w:szCs w:val="18"/>
                <w:lang w:eastAsia="en-GB"/>
              </w:rPr>
              <w:t>Negative fair value (liability)</w:t>
            </w:r>
          </w:p>
        </w:tc>
        <w:tc>
          <w:tcPr>
            <w:tcW w:w="2143" w:type="dxa"/>
            <w:tcBorders>
              <w:left w:val="single" w:sz="4" w:space="0" w:color="auto"/>
              <w:bottom w:val="single" w:sz="4" w:space="0" w:color="auto"/>
              <w:right w:val="single" w:sz="4" w:space="0" w:color="auto"/>
            </w:tcBorders>
          </w:tcPr>
          <w:p w:rsidR="002A0515" w:rsidRDefault="002A0515" w:rsidP="00A54BE4">
            <w:pPr>
              <w:pStyle w:val="TableText"/>
              <w:snapToGrid w:val="0"/>
              <w:rPr>
                <w:lang w:eastAsia="en-GB"/>
              </w:rPr>
            </w:pPr>
          </w:p>
        </w:tc>
        <w:tc>
          <w:tcPr>
            <w:tcW w:w="2144" w:type="dxa"/>
            <w:tcBorders>
              <w:left w:val="single" w:sz="4" w:space="0" w:color="auto"/>
              <w:bottom w:val="single" w:sz="4" w:space="0" w:color="auto"/>
              <w:right w:val="single" w:sz="4" w:space="0" w:color="auto"/>
            </w:tcBorders>
          </w:tcPr>
          <w:p w:rsidR="002A0515" w:rsidRDefault="002A0515" w:rsidP="00A54BE4">
            <w:pPr>
              <w:pStyle w:val="TableText"/>
              <w:snapToGrid w:val="0"/>
              <w:rPr>
                <w:lang w:eastAsia="en-GB"/>
              </w:rPr>
            </w:pPr>
          </w:p>
        </w:tc>
      </w:tr>
    </w:tbl>
    <w:p w:rsidR="002A0515" w:rsidRDefault="002A0515" w:rsidP="002A0515">
      <w:pPr>
        <w:spacing w:before="120" w:after="120"/>
        <w:ind w:leftChars="-283" w:left="-566"/>
        <w:rPr>
          <w:sz w:val="22"/>
        </w:rPr>
      </w:pPr>
    </w:p>
    <w:p w:rsidR="002A0515" w:rsidRDefault="002A0515" w:rsidP="002A0515">
      <w:pPr>
        <w:spacing w:before="120" w:after="120"/>
        <w:rPr>
          <w:sz w:val="22"/>
        </w:rPr>
      </w:pPr>
    </w:p>
    <w:p w:rsidR="002A0515" w:rsidRDefault="002A0515" w:rsidP="002A0515">
      <w:pPr>
        <w:rPr>
          <w:rFonts w:eastAsia="新細明體"/>
          <w:lang w:eastAsia="zh-TW"/>
        </w:rPr>
      </w:pPr>
    </w:p>
    <w:p w:rsidR="002A0515" w:rsidRDefault="002A0515" w:rsidP="002A0515">
      <w:pPr>
        <w:spacing w:before="40" w:after="40"/>
        <w:jc w:val="both"/>
        <w:rPr>
          <w:sz w:val="22"/>
        </w:rPr>
        <w:sectPr w:rsidR="002A0515" w:rsidSect="00A54BE4">
          <w:footerReference w:type="default" r:id="rId22"/>
          <w:pgSz w:w="11906" w:h="16838" w:code="9"/>
          <w:pgMar w:top="1440" w:right="1700" w:bottom="1440" w:left="1797" w:header="851" w:footer="737" w:gutter="0"/>
          <w:cols w:space="425"/>
          <w:docGrid w:type="linesAndChar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A0515" w:rsidTr="00A54BE4">
        <w:tc>
          <w:tcPr>
            <w:tcW w:w="9242" w:type="dxa"/>
            <w:gridSpan w:val="2"/>
            <w:tcBorders>
              <w:top w:val="nil"/>
            </w:tcBorders>
          </w:tcPr>
          <w:p w:rsidR="002A0515" w:rsidRDefault="002A0515" w:rsidP="00A54BE4">
            <w:pPr>
              <w:spacing w:before="40" w:after="40"/>
              <w:jc w:val="both"/>
              <w:rPr>
                <w:noProof/>
                <w:sz w:val="17"/>
                <w:lang w:eastAsia="en-GB"/>
              </w:rPr>
            </w:pPr>
            <w:r>
              <w:rPr>
                <w:sz w:val="22"/>
              </w:rPr>
              <w:t>Template CCR7: RWA flow statements of default risk exposures under IMM(CCR) approach</w:t>
            </w:r>
          </w:p>
        </w:tc>
      </w:tr>
      <w:tr w:rsidR="002A0515" w:rsidTr="00A54BE4">
        <w:tc>
          <w:tcPr>
            <w:tcW w:w="2008" w:type="dxa"/>
          </w:tcPr>
          <w:p w:rsidR="002A0515" w:rsidRDefault="002A0515" w:rsidP="00A54BE4">
            <w:pPr>
              <w:spacing w:before="40" w:after="40"/>
              <w:rPr>
                <w:noProof/>
                <w:sz w:val="17"/>
                <w:lang w:eastAsia="en-GB"/>
              </w:rPr>
            </w:pPr>
            <w:r>
              <w:rPr>
                <w:b/>
                <w:sz w:val="17"/>
                <w:lang w:eastAsia="en-GB"/>
              </w:rPr>
              <w:t>Purpose:</w:t>
            </w:r>
            <w:r>
              <w:rPr>
                <w:sz w:val="17"/>
                <w:lang w:eastAsia="en-GB"/>
              </w:rPr>
              <w:t xml:space="preserve"> </w:t>
            </w:r>
          </w:p>
        </w:tc>
        <w:tc>
          <w:tcPr>
            <w:tcW w:w="7234" w:type="dxa"/>
          </w:tcPr>
          <w:p w:rsidR="002A0515" w:rsidRDefault="002A0515" w:rsidP="00A54BE4">
            <w:pPr>
              <w:spacing w:before="40" w:after="40"/>
              <w:jc w:val="both"/>
              <w:rPr>
                <w:rFonts w:eastAsia="新細明體"/>
                <w:sz w:val="17"/>
                <w:lang w:eastAsia="en-GB"/>
              </w:rPr>
            </w:pPr>
            <w:r>
              <w:rPr>
                <w:rFonts w:eastAsia="新細明體"/>
                <w:sz w:val="17"/>
                <w:lang w:eastAsia="en-GB"/>
              </w:rPr>
              <w:t>To present a flow statement explaining variations in RWA for default risk exposures determined under the IMM(CCR) approach.</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Scope of application: </w:t>
            </w:r>
          </w:p>
        </w:tc>
        <w:tc>
          <w:tcPr>
            <w:tcW w:w="7234" w:type="dxa"/>
          </w:tcPr>
          <w:p w:rsidR="002A0515" w:rsidRDefault="002A0515" w:rsidP="00A54BE4">
            <w:pPr>
              <w:spacing w:before="40" w:after="40"/>
              <w:jc w:val="both"/>
              <w:rPr>
                <w:rFonts w:eastAsia="新細明體"/>
                <w:sz w:val="17"/>
                <w:lang w:eastAsia="en-GB"/>
              </w:rPr>
            </w:pPr>
            <w:r>
              <w:rPr>
                <w:rFonts w:eastAsia="新細明體"/>
                <w:sz w:val="17"/>
                <w:lang w:eastAsia="en-GB"/>
              </w:rPr>
              <w:t>The template is mandatory for AIs incorporated in Hong Kong that use the IMM(CCR) approach for measuring default risk exposures, irrespective of the credit risk approach used to compute the RWAs of the default risk exposures.</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Content: </w:t>
            </w:r>
          </w:p>
        </w:tc>
        <w:tc>
          <w:tcPr>
            <w:tcW w:w="7234" w:type="dxa"/>
          </w:tcPr>
          <w:p w:rsidR="002A0515" w:rsidRDefault="002A0515" w:rsidP="00A54BE4">
            <w:pPr>
              <w:spacing w:before="40" w:after="40"/>
              <w:jc w:val="both"/>
              <w:rPr>
                <w:rFonts w:eastAsia="新細明體"/>
                <w:b/>
                <w:sz w:val="17"/>
                <w:lang w:eastAsia="en-GB"/>
              </w:rPr>
            </w:pPr>
            <w:r>
              <w:rPr>
                <w:rFonts w:eastAsia="新細明體"/>
                <w:sz w:val="17"/>
                <w:lang w:eastAsia="en-GB"/>
              </w:rPr>
              <w:t>RWA of default risk exposure (i.e. credit risk disclosed in template CR8 excluded).</w:t>
            </w:r>
            <w:r>
              <w:t xml:space="preserve">  </w:t>
            </w:r>
            <w:r>
              <w:rPr>
                <w:sz w:val="17"/>
                <w:szCs w:val="17"/>
              </w:rPr>
              <w:t>Changes in RWA in the current reporting period for each of the key drivers should be based on an AI’s reasonable estimation of the figures.</w:t>
            </w:r>
          </w:p>
        </w:tc>
      </w:tr>
      <w:tr w:rsidR="002A0515" w:rsidTr="00A54BE4">
        <w:tc>
          <w:tcPr>
            <w:tcW w:w="2008" w:type="dxa"/>
          </w:tcPr>
          <w:p w:rsidR="002A0515" w:rsidRDefault="002A0515" w:rsidP="00A54BE4">
            <w:pPr>
              <w:spacing w:before="40" w:after="40"/>
              <w:rPr>
                <w:sz w:val="17"/>
                <w:lang w:eastAsia="en-GB"/>
              </w:rPr>
            </w:pPr>
            <w:r>
              <w:rPr>
                <w:b/>
                <w:sz w:val="17"/>
                <w:lang w:eastAsia="en-GB"/>
              </w:rPr>
              <w:t>Frequency:</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Quarterly.</w:t>
            </w:r>
          </w:p>
        </w:tc>
      </w:tr>
      <w:tr w:rsidR="002A0515" w:rsidTr="00A54BE4">
        <w:tc>
          <w:tcPr>
            <w:tcW w:w="2008" w:type="dxa"/>
          </w:tcPr>
          <w:p w:rsidR="002A0515" w:rsidRDefault="002A0515" w:rsidP="00A54BE4">
            <w:pPr>
              <w:spacing w:before="40" w:after="40"/>
              <w:rPr>
                <w:sz w:val="17"/>
                <w:lang w:eastAsia="en-GB"/>
              </w:rPr>
            </w:pPr>
            <w:r>
              <w:rPr>
                <w:b/>
                <w:sz w:val="17"/>
                <w:lang w:eastAsia="en-GB"/>
              </w:rPr>
              <w:t>Format:</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Fixed.  Columns and rows 1 and 9 should not be altered.  An AI should add additional rows between rows 7 and 8 to disclose additional elements, if any, that contribute significantly to RWA variations.</w:t>
            </w:r>
          </w:p>
        </w:tc>
      </w:tr>
      <w:tr w:rsidR="002A0515" w:rsidTr="00A54BE4">
        <w:tc>
          <w:tcPr>
            <w:tcW w:w="2008" w:type="dxa"/>
          </w:tcPr>
          <w:p w:rsidR="002A0515" w:rsidRDefault="002A0515" w:rsidP="00A54BE4">
            <w:pPr>
              <w:spacing w:before="40" w:after="40"/>
              <w:rPr>
                <w:b/>
                <w:sz w:val="17"/>
                <w:lang w:eastAsia="en-GB"/>
              </w:rPr>
            </w:pPr>
            <w:r>
              <w:rPr>
                <w:rFonts w:eastAsia="新細明體"/>
                <w:b/>
                <w:sz w:val="17"/>
                <w:szCs w:val="17"/>
                <w:lang w:eastAsia="en-GB"/>
              </w:rPr>
              <w:t>Accompanying narrative:</w:t>
            </w:r>
          </w:p>
        </w:tc>
        <w:tc>
          <w:tcPr>
            <w:tcW w:w="7234" w:type="dxa"/>
          </w:tcPr>
          <w:p w:rsidR="002A0515" w:rsidRDefault="002A0515" w:rsidP="00A54BE4">
            <w:pPr>
              <w:pStyle w:val="TableText"/>
              <w:jc w:val="both"/>
              <w:rPr>
                <w:noProof/>
                <w:lang w:eastAsia="en-GB"/>
              </w:rPr>
            </w:pPr>
            <w:r>
              <w:rPr>
                <w:szCs w:val="17"/>
                <w:lang w:eastAsia="en-GB"/>
              </w:rPr>
              <w:t>An AI should supplement the template with a narrative commentary to explain any material change in the current reporting period and the key drivers of such changes.</w:t>
            </w:r>
            <w:r>
              <w:rPr>
                <w:lang w:eastAsia="en-GB"/>
              </w:rPr>
              <w:t xml:space="preserve"> </w:t>
            </w:r>
          </w:p>
        </w:tc>
      </w:tr>
      <w:tr w:rsidR="002A0515" w:rsidTr="00A54BE4">
        <w:tc>
          <w:tcPr>
            <w:tcW w:w="2008" w:type="dxa"/>
          </w:tcPr>
          <w:p w:rsidR="002A0515" w:rsidRDefault="002A0515" w:rsidP="00A54BE4">
            <w:pPr>
              <w:spacing w:before="40" w:after="40"/>
              <w:rPr>
                <w:rFonts w:eastAsia="新細明體"/>
                <w:b/>
                <w:sz w:val="17"/>
                <w:szCs w:val="17"/>
                <w:lang w:eastAsia="en-GB"/>
              </w:rPr>
            </w:pPr>
            <w:r>
              <w:rPr>
                <w:rFonts w:eastAsia="新細明體"/>
                <w:b/>
                <w:sz w:val="17"/>
                <w:szCs w:val="17"/>
                <w:lang w:eastAsia="en-GB"/>
              </w:rPr>
              <w:t>Corresponding BDR section:</w:t>
            </w:r>
          </w:p>
        </w:tc>
        <w:tc>
          <w:tcPr>
            <w:tcW w:w="7234" w:type="dxa"/>
          </w:tcPr>
          <w:p w:rsidR="002A0515" w:rsidRDefault="002A0515" w:rsidP="00A54BE4">
            <w:pPr>
              <w:pStyle w:val="TableText"/>
              <w:jc w:val="both"/>
              <w:rPr>
                <w:szCs w:val="17"/>
                <w:lang w:eastAsia="en-GB"/>
              </w:rPr>
            </w:pPr>
            <w:r>
              <w:rPr>
                <w:szCs w:val="17"/>
                <w:lang w:eastAsia="en-GB"/>
              </w:rPr>
              <w:t>16ZC</w:t>
            </w:r>
          </w:p>
        </w:tc>
      </w:tr>
    </w:tbl>
    <w:p w:rsidR="002A0515" w:rsidRDefault="002A0515" w:rsidP="002A0515">
      <w:pPr>
        <w:spacing w:before="120" w:after="120"/>
        <w:rPr>
          <w:sz w:val="22"/>
        </w:rPr>
      </w:pPr>
    </w:p>
    <w:tbl>
      <w:tblPr>
        <w:tblW w:w="9242"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7458"/>
        <w:gridCol w:w="1217"/>
      </w:tblGrid>
      <w:tr w:rsidR="002A0515" w:rsidTr="00A54BE4">
        <w:trPr>
          <w:cantSplit/>
          <w:trHeight w:val="107"/>
          <w:tblHeader/>
        </w:trPr>
        <w:tc>
          <w:tcPr>
            <w:tcW w:w="567" w:type="dxa"/>
            <w:tcBorders>
              <w:top w:val="nil"/>
              <w:left w:val="nil"/>
              <w:bottom w:val="nil"/>
              <w:right w:val="nil"/>
            </w:tcBorders>
          </w:tcPr>
          <w:p w:rsidR="002A0515" w:rsidRDefault="002A0515" w:rsidP="00A54BE4">
            <w:pPr>
              <w:pStyle w:val="TableText"/>
              <w:snapToGrid w:val="0"/>
              <w:ind w:leftChars="-54" w:left="-108"/>
              <w:rPr>
                <w:lang w:eastAsia="en-GB"/>
              </w:rPr>
            </w:pPr>
          </w:p>
        </w:tc>
        <w:tc>
          <w:tcPr>
            <w:tcW w:w="7458" w:type="dxa"/>
            <w:tcBorders>
              <w:top w:val="nil"/>
              <w:left w:val="nil"/>
              <w:bottom w:val="nil"/>
              <w:right w:val="single" w:sz="4" w:space="0" w:color="auto"/>
            </w:tcBorders>
            <w:vAlign w:val="center"/>
          </w:tcPr>
          <w:p w:rsidR="002A0515" w:rsidRDefault="002A0515" w:rsidP="00A54BE4">
            <w:pPr>
              <w:pStyle w:val="TableText"/>
              <w:snapToGrid w:val="0"/>
              <w:ind w:leftChars="-621" w:left="-1242"/>
              <w:rPr>
                <w:lang w:eastAsia="en-GB"/>
              </w:rPr>
            </w:pPr>
          </w:p>
        </w:tc>
        <w:tc>
          <w:tcPr>
            <w:tcW w:w="1217"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szCs w:val="17"/>
                <w:lang w:eastAsia="it-IT"/>
              </w:rPr>
            </w:pPr>
            <w:r>
              <w:rPr>
                <w:bCs/>
                <w:szCs w:val="17"/>
                <w:lang w:eastAsia="it-IT"/>
              </w:rPr>
              <w:t>(a)</w:t>
            </w:r>
          </w:p>
        </w:tc>
      </w:tr>
      <w:tr w:rsidR="002A0515" w:rsidTr="00A54BE4">
        <w:trPr>
          <w:cantSplit/>
          <w:tblHeader/>
        </w:trPr>
        <w:tc>
          <w:tcPr>
            <w:tcW w:w="567" w:type="dxa"/>
            <w:tcBorders>
              <w:top w:val="nil"/>
              <w:left w:val="nil"/>
              <w:bottom w:val="single" w:sz="4" w:space="0" w:color="auto"/>
              <w:right w:val="nil"/>
            </w:tcBorders>
          </w:tcPr>
          <w:p w:rsidR="002A0515" w:rsidRDefault="002A0515" w:rsidP="00A54BE4">
            <w:pPr>
              <w:pStyle w:val="TableText"/>
              <w:snapToGrid w:val="0"/>
              <w:rPr>
                <w:lang w:eastAsia="en-GB"/>
              </w:rPr>
            </w:pPr>
          </w:p>
        </w:tc>
        <w:tc>
          <w:tcPr>
            <w:tcW w:w="7458" w:type="dxa"/>
            <w:tcBorders>
              <w:top w:val="nil"/>
              <w:left w:val="nil"/>
              <w:bottom w:val="single" w:sz="4" w:space="0" w:color="auto"/>
              <w:right w:val="single" w:sz="4" w:space="0" w:color="auto"/>
            </w:tcBorders>
            <w:vAlign w:val="center"/>
          </w:tcPr>
          <w:p w:rsidR="002A0515" w:rsidRDefault="002A0515" w:rsidP="00A54BE4">
            <w:pPr>
              <w:pStyle w:val="TableText"/>
              <w:snapToGrid w:val="0"/>
              <w:rPr>
                <w:lang w:eastAsia="en-GB"/>
              </w:rPr>
            </w:pPr>
          </w:p>
        </w:tc>
        <w:tc>
          <w:tcPr>
            <w:tcW w:w="1217"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
                <w:bCs/>
                <w:szCs w:val="17"/>
                <w:lang w:eastAsia="it-IT"/>
              </w:rPr>
            </w:pPr>
            <w:r>
              <w:rPr>
                <w:b/>
                <w:lang w:eastAsia="it-IT"/>
              </w:rPr>
              <w:t>Amount</w:t>
            </w:r>
          </w:p>
        </w:tc>
      </w:tr>
      <w:tr w:rsidR="002A0515" w:rsidTr="00A54BE4">
        <w:trPr>
          <w:cantSplit/>
          <w:tblHeader/>
        </w:trPr>
        <w:tc>
          <w:tcPr>
            <w:tcW w:w="567" w:type="dxa"/>
            <w:tcBorders>
              <w:top w:val="single" w:sz="4" w:space="0" w:color="auto"/>
              <w:left w:val="nil"/>
              <w:right w:val="single" w:sz="4" w:space="0" w:color="auto"/>
            </w:tcBorders>
          </w:tcPr>
          <w:p w:rsidR="002A0515" w:rsidRDefault="002A0515" w:rsidP="00A54BE4">
            <w:pPr>
              <w:pStyle w:val="TableText"/>
              <w:snapToGrid w:val="0"/>
              <w:rPr>
                <w:b/>
                <w:lang w:eastAsia="en-GB"/>
              </w:rPr>
            </w:pPr>
            <w:r>
              <w:rPr>
                <w:b/>
                <w:lang w:eastAsia="en-GB"/>
              </w:rPr>
              <w:t>1</w:t>
            </w:r>
          </w:p>
        </w:tc>
        <w:tc>
          <w:tcPr>
            <w:tcW w:w="7458" w:type="dxa"/>
            <w:tcBorders>
              <w:top w:val="single" w:sz="4" w:space="0" w:color="auto"/>
              <w:left w:val="single" w:sz="4" w:space="0" w:color="auto"/>
              <w:right w:val="single" w:sz="4" w:space="0" w:color="auto"/>
            </w:tcBorders>
          </w:tcPr>
          <w:p w:rsidR="002A0515" w:rsidRDefault="002A0515" w:rsidP="00A54BE4">
            <w:pPr>
              <w:pStyle w:val="TableText"/>
              <w:snapToGrid w:val="0"/>
              <w:rPr>
                <w:b/>
                <w:noProof/>
                <w:lang w:eastAsia="en-GB"/>
              </w:rPr>
            </w:pPr>
            <w:r>
              <w:rPr>
                <w:b/>
                <w:lang w:eastAsia="en-GB"/>
              </w:rPr>
              <w:t>RWA as at end of previous reporting period</w:t>
            </w:r>
          </w:p>
        </w:tc>
        <w:tc>
          <w:tcPr>
            <w:tcW w:w="1217" w:type="dxa"/>
            <w:tcBorders>
              <w:top w:val="single" w:sz="4" w:space="0" w:color="auto"/>
              <w:left w:val="single" w:sz="4" w:space="0" w:color="auto"/>
              <w:right w:val="single" w:sz="4" w:space="0" w:color="auto"/>
            </w:tcBorders>
            <w:vAlign w:val="center"/>
          </w:tcPr>
          <w:p w:rsidR="002A0515" w:rsidRDefault="002A0515" w:rsidP="00A54BE4">
            <w:pPr>
              <w:pStyle w:val="TableText"/>
              <w:snapToGrid w:val="0"/>
              <w:rPr>
                <w:rFonts w:ascii="Arial" w:hAnsi="Arial"/>
                <w:bCs/>
                <w:lang w:eastAsia="en-GB"/>
              </w:rPr>
            </w:pPr>
          </w:p>
        </w:tc>
      </w:tr>
      <w:tr w:rsidR="002A0515" w:rsidTr="00A54BE4">
        <w:trPr>
          <w:cantSplit/>
        </w:trPr>
        <w:tc>
          <w:tcPr>
            <w:tcW w:w="567" w:type="dxa"/>
            <w:tcBorders>
              <w:left w:val="nil"/>
              <w:right w:val="single" w:sz="4" w:space="0" w:color="auto"/>
            </w:tcBorders>
          </w:tcPr>
          <w:p w:rsidR="002A0515" w:rsidRDefault="002A0515" w:rsidP="00A54BE4">
            <w:pPr>
              <w:pStyle w:val="TableText"/>
              <w:snapToGrid w:val="0"/>
              <w:rPr>
                <w:lang w:eastAsia="en-GB"/>
              </w:rPr>
            </w:pPr>
            <w:r>
              <w:rPr>
                <w:lang w:eastAsia="en-GB"/>
              </w:rPr>
              <w:t>2</w:t>
            </w:r>
          </w:p>
        </w:tc>
        <w:tc>
          <w:tcPr>
            <w:tcW w:w="7458" w:type="dxa"/>
            <w:tcBorders>
              <w:left w:val="single" w:sz="4" w:space="0" w:color="auto"/>
              <w:right w:val="single" w:sz="4" w:space="0" w:color="auto"/>
            </w:tcBorders>
          </w:tcPr>
          <w:p w:rsidR="002A0515" w:rsidRDefault="002A0515" w:rsidP="00A54BE4">
            <w:pPr>
              <w:pStyle w:val="TableText"/>
              <w:snapToGrid w:val="0"/>
              <w:rPr>
                <w:lang w:eastAsia="en-GB"/>
              </w:rPr>
            </w:pPr>
            <w:r>
              <w:rPr>
                <w:lang w:eastAsia="en-GB"/>
              </w:rPr>
              <w:t>Asset size</w:t>
            </w:r>
          </w:p>
        </w:tc>
        <w:tc>
          <w:tcPr>
            <w:tcW w:w="1217"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567" w:type="dxa"/>
            <w:tcBorders>
              <w:left w:val="nil"/>
              <w:right w:val="single" w:sz="4" w:space="0" w:color="auto"/>
            </w:tcBorders>
          </w:tcPr>
          <w:p w:rsidR="002A0515" w:rsidRDefault="002A0515" w:rsidP="00A54BE4">
            <w:pPr>
              <w:pStyle w:val="TableText"/>
              <w:snapToGrid w:val="0"/>
              <w:rPr>
                <w:lang w:eastAsia="en-GB"/>
              </w:rPr>
            </w:pPr>
            <w:r>
              <w:rPr>
                <w:lang w:eastAsia="en-GB"/>
              </w:rPr>
              <w:t>3</w:t>
            </w:r>
          </w:p>
        </w:tc>
        <w:tc>
          <w:tcPr>
            <w:tcW w:w="7458" w:type="dxa"/>
            <w:tcBorders>
              <w:left w:val="single" w:sz="4" w:space="0" w:color="auto"/>
              <w:right w:val="single" w:sz="4" w:space="0" w:color="auto"/>
            </w:tcBorders>
          </w:tcPr>
          <w:p w:rsidR="002A0515" w:rsidRDefault="002A0515" w:rsidP="00A54BE4">
            <w:pPr>
              <w:pStyle w:val="TableText"/>
              <w:snapToGrid w:val="0"/>
              <w:rPr>
                <w:lang w:eastAsia="en-GB"/>
              </w:rPr>
            </w:pPr>
            <w:r>
              <w:rPr>
                <w:lang w:eastAsia="en-GB"/>
              </w:rPr>
              <w:t>Credit quality of counterparties</w:t>
            </w:r>
          </w:p>
        </w:tc>
        <w:tc>
          <w:tcPr>
            <w:tcW w:w="1217"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567" w:type="dxa"/>
            <w:tcBorders>
              <w:left w:val="nil"/>
              <w:right w:val="single" w:sz="4" w:space="0" w:color="auto"/>
            </w:tcBorders>
          </w:tcPr>
          <w:p w:rsidR="002A0515" w:rsidRDefault="002A0515" w:rsidP="00A54BE4">
            <w:pPr>
              <w:pStyle w:val="TableText"/>
              <w:snapToGrid w:val="0"/>
              <w:rPr>
                <w:lang w:eastAsia="en-GB"/>
              </w:rPr>
            </w:pPr>
            <w:r>
              <w:rPr>
                <w:lang w:eastAsia="en-GB"/>
              </w:rPr>
              <w:t>4</w:t>
            </w:r>
          </w:p>
        </w:tc>
        <w:tc>
          <w:tcPr>
            <w:tcW w:w="7458" w:type="dxa"/>
            <w:tcBorders>
              <w:left w:val="single" w:sz="4" w:space="0" w:color="auto"/>
              <w:right w:val="single" w:sz="4" w:space="0" w:color="auto"/>
            </w:tcBorders>
          </w:tcPr>
          <w:p w:rsidR="002A0515" w:rsidRDefault="002A0515" w:rsidP="00A54BE4">
            <w:pPr>
              <w:pStyle w:val="TableText"/>
              <w:snapToGrid w:val="0"/>
              <w:rPr>
                <w:lang w:eastAsia="en-GB"/>
              </w:rPr>
            </w:pPr>
            <w:r>
              <w:rPr>
                <w:lang w:eastAsia="en-GB"/>
              </w:rPr>
              <w:t>Model updates</w:t>
            </w:r>
          </w:p>
        </w:tc>
        <w:tc>
          <w:tcPr>
            <w:tcW w:w="1217"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567" w:type="dxa"/>
            <w:tcBorders>
              <w:left w:val="nil"/>
              <w:right w:val="single" w:sz="4" w:space="0" w:color="auto"/>
            </w:tcBorders>
          </w:tcPr>
          <w:p w:rsidR="002A0515" w:rsidRDefault="002A0515" w:rsidP="00A54BE4">
            <w:pPr>
              <w:pStyle w:val="TableText"/>
              <w:snapToGrid w:val="0"/>
              <w:rPr>
                <w:lang w:eastAsia="en-GB"/>
              </w:rPr>
            </w:pPr>
            <w:r>
              <w:rPr>
                <w:lang w:eastAsia="en-GB"/>
              </w:rPr>
              <w:t>5</w:t>
            </w:r>
          </w:p>
        </w:tc>
        <w:tc>
          <w:tcPr>
            <w:tcW w:w="7458" w:type="dxa"/>
            <w:tcBorders>
              <w:left w:val="single" w:sz="4" w:space="0" w:color="auto"/>
              <w:right w:val="single" w:sz="4" w:space="0" w:color="auto"/>
            </w:tcBorders>
          </w:tcPr>
          <w:p w:rsidR="002A0515" w:rsidRDefault="002A0515" w:rsidP="00A54BE4">
            <w:pPr>
              <w:pStyle w:val="TableText"/>
              <w:snapToGrid w:val="0"/>
              <w:rPr>
                <w:lang w:eastAsia="en-GB"/>
              </w:rPr>
            </w:pPr>
            <w:r>
              <w:rPr>
                <w:lang w:eastAsia="en-GB"/>
              </w:rPr>
              <w:t>Methodology and policy</w:t>
            </w:r>
          </w:p>
        </w:tc>
        <w:tc>
          <w:tcPr>
            <w:tcW w:w="1217"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567" w:type="dxa"/>
            <w:tcBorders>
              <w:left w:val="nil"/>
              <w:right w:val="single" w:sz="4" w:space="0" w:color="auto"/>
            </w:tcBorders>
          </w:tcPr>
          <w:p w:rsidR="002A0515" w:rsidRDefault="002A0515" w:rsidP="00A54BE4">
            <w:pPr>
              <w:pStyle w:val="TableText"/>
              <w:snapToGrid w:val="0"/>
              <w:rPr>
                <w:lang w:eastAsia="en-GB"/>
              </w:rPr>
            </w:pPr>
            <w:r>
              <w:rPr>
                <w:lang w:eastAsia="en-GB"/>
              </w:rPr>
              <w:t>6</w:t>
            </w:r>
          </w:p>
        </w:tc>
        <w:tc>
          <w:tcPr>
            <w:tcW w:w="7458" w:type="dxa"/>
            <w:tcBorders>
              <w:left w:val="single" w:sz="4" w:space="0" w:color="auto"/>
              <w:right w:val="single" w:sz="4" w:space="0" w:color="auto"/>
            </w:tcBorders>
          </w:tcPr>
          <w:p w:rsidR="002A0515" w:rsidRDefault="002A0515" w:rsidP="00A54BE4">
            <w:pPr>
              <w:pStyle w:val="TableText"/>
              <w:snapToGrid w:val="0"/>
              <w:rPr>
                <w:lang w:eastAsia="en-GB"/>
              </w:rPr>
            </w:pPr>
            <w:r>
              <w:rPr>
                <w:lang w:eastAsia="en-GB"/>
              </w:rPr>
              <w:t>Acquisitions and disposals</w:t>
            </w:r>
          </w:p>
        </w:tc>
        <w:tc>
          <w:tcPr>
            <w:tcW w:w="1217"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567" w:type="dxa"/>
            <w:tcBorders>
              <w:left w:val="nil"/>
              <w:right w:val="single" w:sz="4" w:space="0" w:color="auto"/>
            </w:tcBorders>
          </w:tcPr>
          <w:p w:rsidR="002A0515" w:rsidRDefault="002A0515" w:rsidP="00A54BE4">
            <w:pPr>
              <w:pStyle w:val="TableText"/>
              <w:snapToGrid w:val="0"/>
              <w:rPr>
                <w:lang w:eastAsia="en-GB"/>
              </w:rPr>
            </w:pPr>
            <w:r>
              <w:rPr>
                <w:lang w:eastAsia="en-GB"/>
              </w:rPr>
              <w:t>7</w:t>
            </w:r>
          </w:p>
        </w:tc>
        <w:tc>
          <w:tcPr>
            <w:tcW w:w="7458" w:type="dxa"/>
            <w:tcBorders>
              <w:left w:val="single" w:sz="4" w:space="0" w:color="auto"/>
              <w:right w:val="single" w:sz="4" w:space="0" w:color="auto"/>
            </w:tcBorders>
          </w:tcPr>
          <w:p w:rsidR="002A0515" w:rsidRDefault="002A0515" w:rsidP="00A54BE4">
            <w:pPr>
              <w:pStyle w:val="TableText"/>
              <w:snapToGrid w:val="0"/>
              <w:rPr>
                <w:lang w:eastAsia="en-GB"/>
              </w:rPr>
            </w:pPr>
            <w:r>
              <w:rPr>
                <w:lang w:eastAsia="en-GB"/>
              </w:rPr>
              <w:t>Foreign exchange movements</w:t>
            </w:r>
          </w:p>
        </w:tc>
        <w:tc>
          <w:tcPr>
            <w:tcW w:w="1217"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567" w:type="dxa"/>
            <w:tcBorders>
              <w:left w:val="nil"/>
              <w:right w:val="single" w:sz="4" w:space="0" w:color="auto"/>
            </w:tcBorders>
          </w:tcPr>
          <w:p w:rsidR="002A0515" w:rsidRDefault="002A0515" w:rsidP="00A54BE4">
            <w:pPr>
              <w:pStyle w:val="TableText"/>
              <w:snapToGrid w:val="0"/>
              <w:rPr>
                <w:lang w:eastAsia="en-GB"/>
              </w:rPr>
            </w:pPr>
            <w:r>
              <w:rPr>
                <w:lang w:eastAsia="en-GB"/>
              </w:rPr>
              <w:t>8</w:t>
            </w:r>
          </w:p>
        </w:tc>
        <w:tc>
          <w:tcPr>
            <w:tcW w:w="7458" w:type="dxa"/>
            <w:tcBorders>
              <w:left w:val="single" w:sz="4" w:space="0" w:color="auto"/>
              <w:right w:val="single" w:sz="4" w:space="0" w:color="auto"/>
            </w:tcBorders>
          </w:tcPr>
          <w:p w:rsidR="002A0515" w:rsidRDefault="002A0515" w:rsidP="00A54BE4">
            <w:pPr>
              <w:pStyle w:val="TableText"/>
              <w:snapToGrid w:val="0"/>
              <w:rPr>
                <w:lang w:eastAsia="en-GB"/>
              </w:rPr>
            </w:pPr>
            <w:r>
              <w:rPr>
                <w:lang w:eastAsia="en-GB"/>
              </w:rPr>
              <w:t>Other</w:t>
            </w:r>
          </w:p>
        </w:tc>
        <w:tc>
          <w:tcPr>
            <w:tcW w:w="1217" w:type="dxa"/>
            <w:tcBorders>
              <w:left w:val="single" w:sz="4" w:space="0" w:color="auto"/>
              <w:right w:val="single" w:sz="4" w:space="0" w:color="auto"/>
            </w:tcBorders>
          </w:tcPr>
          <w:p w:rsidR="002A0515" w:rsidRDefault="002A0515" w:rsidP="00A54BE4">
            <w:pPr>
              <w:pStyle w:val="TableText"/>
              <w:snapToGrid w:val="0"/>
              <w:rPr>
                <w:lang w:eastAsia="en-GB"/>
              </w:rPr>
            </w:pPr>
          </w:p>
        </w:tc>
      </w:tr>
      <w:tr w:rsidR="002A0515" w:rsidTr="00A54BE4">
        <w:trPr>
          <w:cantSplit/>
        </w:trPr>
        <w:tc>
          <w:tcPr>
            <w:tcW w:w="567" w:type="dxa"/>
            <w:tcBorders>
              <w:left w:val="nil"/>
              <w:bottom w:val="single" w:sz="4" w:space="0" w:color="auto"/>
              <w:right w:val="single" w:sz="4" w:space="0" w:color="auto"/>
            </w:tcBorders>
          </w:tcPr>
          <w:p w:rsidR="002A0515" w:rsidRDefault="002A0515" w:rsidP="00A54BE4">
            <w:pPr>
              <w:pStyle w:val="TableText"/>
              <w:snapToGrid w:val="0"/>
              <w:rPr>
                <w:b/>
                <w:lang w:eastAsia="en-GB"/>
              </w:rPr>
            </w:pPr>
            <w:r>
              <w:rPr>
                <w:b/>
                <w:lang w:eastAsia="en-GB"/>
              </w:rPr>
              <w:t>9</w:t>
            </w:r>
          </w:p>
        </w:tc>
        <w:tc>
          <w:tcPr>
            <w:tcW w:w="7458" w:type="dxa"/>
            <w:tcBorders>
              <w:left w:val="single" w:sz="4" w:space="0" w:color="auto"/>
              <w:bottom w:val="single" w:sz="4" w:space="0" w:color="auto"/>
              <w:right w:val="single" w:sz="4" w:space="0" w:color="auto"/>
            </w:tcBorders>
          </w:tcPr>
          <w:p w:rsidR="002A0515" w:rsidRDefault="002A0515" w:rsidP="00A54BE4">
            <w:pPr>
              <w:pStyle w:val="TableText"/>
              <w:snapToGrid w:val="0"/>
              <w:rPr>
                <w:b/>
                <w:noProof/>
                <w:lang w:eastAsia="en-GB"/>
              </w:rPr>
            </w:pPr>
            <w:r>
              <w:rPr>
                <w:b/>
                <w:lang w:eastAsia="en-GB"/>
              </w:rPr>
              <w:t>RWA as at end of reporting period</w:t>
            </w:r>
          </w:p>
        </w:tc>
        <w:tc>
          <w:tcPr>
            <w:tcW w:w="1217" w:type="dxa"/>
            <w:tcBorders>
              <w:left w:val="single" w:sz="4" w:space="0" w:color="auto"/>
              <w:bottom w:val="single" w:sz="4" w:space="0" w:color="auto"/>
              <w:right w:val="single" w:sz="4" w:space="0" w:color="auto"/>
            </w:tcBorders>
          </w:tcPr>
          <w:p w:rsidR="002A0515" w:rsidRDefault="002A0515" w:rsidP="00A54BE4">
            <w:pPr>
              <w:pStyle w:val="TableText"/>
              <w:snapToGrid w:val="0"/>
              <w:rPr>
                <w:lang w:eastAsia="en-GB"/>
              </w:rPr>
            </w:pPr>
          </w:p>
        </w:tc>
      </w:tr>
    </w:tbl>
    <w:p w:rsidR="002A0515" w:rsidRDefault="002A0515" w:rsidP="002A0515">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2A0515" w:rsidTr="00A54BE4">
        <w:trPr>
          <w:tblHeader/>
        </w:trPr>
        <w:tc>
          <w:tcPr>
            <w:tcW w:w="9214" w:type="dxa"/>
            <w:gridSpan w:val="2"/>
            <w:shd w:val="clear" w:color="auto" w:fill="BFBFBF"/>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Explanatory Note</w:t>
            </w:r>
          </w:p>
        </w:tc>
      </w:tr>
      <w:tr w:rsidR="002A0515" w:rsidTr="00A54BE4">
        <w:trPr>
          <w:trHeight w:val="153"/>
        </w:trPr>
        <w:tc>
          <w:tcPr>
            <w:tcW w:w="9214" w:type="dxa"/>
            <w:gridSpan w:val="2"/>
            <w:shd w:val="clear" w:color="auto" w:fill="F2F2F2"/>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Rows</w:t>
            </w:r>
          </w:p>
        </w:tc>
      </w:tr>
      <w:tr w:rsidR="002A0515" w:rsidTr="00A54BE4">
        <w:tc>
          <w:tcPr>
            <w:tcW w:w="567"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w:t>
            </w:r>
          </w:p>
        </w:tc>
        <w:tc>
          <w:tcPr>
            <w:tcW w:w="8647" w:type="dxa"/>
          </w:tcPr>
          <w:p w:rsidR="002A0515" w:rsidRDefault="002A0515" w:rsidP="00A54BE4">
            <w:pPr>
              <w:pStyle w:val="TableText"/>
              <w:keepNext/>
              <w:jc w:val="both"/>
              <w:rPr>
                <w:szCs w:val="17"/>
              </w:rPr>
            </w:pPr>
            <w:r>
              <w:rPr>
                <w:i/>
                <w:szCs w:val="17"/>
              </w:rPr>
              <w:t>RWA as at end of previous reporting period</w:t>
            </w:r>
            <w:r>
              <w:rPr>
                <w:lang w:eastAsia="en-GB"/>
              </w:rPr>
              <w:t xml:space="preserve">: </w:t>
            </w:r>
            <w:r>
              <w:rPr>
                <w:rFonts w:cs="Segoe UI"/>
                <w:szCs w:val="17"/>
              </w:rPr>
              <w:t>this row equals the value in [CCR7: 9/a] of the last reporting period, which is also equal to the value in [OV1: 8/b].</w:t>
            </w:r>
          </w:p>
        </w:tc>
      </w:tr>
      <w:tr w:rsidR="002A0515" w:rsidTr="00A54BE4">
        <w:trPr>
          <w:trHeight w:val="252"/>
        </w:trPr>
        <w:tc>
          <w:tcPr>
            <w:tcW w:w="567"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w:t>
            </w:r>
          </w:p>
        </w:tc>
        <w:tc>
          <w:tcPr>
            <w:tcW w:w="8647" w:type="dxa"/>
          </w:tcPr>
          <w:p w:rsidR="002A0515" w:rsidRDefault="002A0515" w:rsidP="00A54BE4">
            <w:pPr>
              <w:pStyle w:val="TableText"/>
              <w:keepNext/>
              <w:jc w:val="both"/>
              <w:rPr>
                <w:szCs w:val="17"/>
              </w:rPr>
            </w:pPr>
            <w:r>
              <w:rPr>
                <w:i/>
                <w:szCs w:val="17"/>
              </w:rPr>
              <w:t>Asset size</w:t>
            </w:r>
            <w:r>
              <w:rPr>
                <w:szCs w:val="17"/>
              </w:rPr>
              <w:t xml:space="preserve">: the variation in RWA due to the organic changes in book size and composition (including </w:t>
            </w:r>
            <w:r>
              <w:rPr>
                <w:rFonts w:eastAsia="MS Mincho"/>
                <w:szCs w:val="17"/>
                <w:lang w:eastAsia="ja-JP"/>
              </w:rPr>
              <w:t xml:space="preserve">origination of </w:t>
            </w:r>
            <w:r>
              <w:rPr>
                <w:szCs w:val="17"/>
              </w:rPr>
              <w:t>new business</w:t>
            </w:r>
            <w:r>
              <w:rPr>
                <w:rFonts w:eastAsia="MS Mincho"/>
                <w:szCs w:val="17"/>
                <w:lang w:eastAsia="ja-JP"/>
              </w:rPr>
              <w:t>es</w:t>
            </w:r>
            <w:r>
              <w:rPr>
                <w:szCs w:val="17"/>
              </w:rPr>
              <w:t xml:space="preserve"> and maturing exposures</w:t>
            </w:r>
            <w:r>
              <w:rPr>
                <w:rFonts w:eastAsia="MS Mincho"/>
                <w:szCs w:val="17"/>
                <w:lang w:eastAsia="ja-JP"/>
              </w:rPr>
              <w:t xml:space="preserve">) but excluding changes in book size due to acquisitions and disposal of </w:t>
            </w:r>
            <w:r>
              <w:rPr>
                <w:rFonts w:cs="Segoe UI"/>
                <w:szCs w:val="17"/>
              </w:rPr>
              <w:t>entities</w:t>
            </w:r>
            <w:r>
              <w:rPr>
                <w:rFonts w:eastAsia="MS Mincho"/>
                <w:szCs w:val="17"/>
                <w:lang w:eastAsia="ja-JP"/>
              </w:rPr>
              <w:t>.</w:t>
            </w:r>
          </w:p>
        </w:tc>
      </w:tr>
      <w:tr w:rsidR="002A0515" w:rsidTr="00A54BE4">
        <w:tc>
          <w:tcPr>
            <w:tcW w:w="567"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w:t>
            </w:r>
          </w:p>
        </w:tc>
        <w:tc>
          <w:tcPr>
            <w:tcW w:w="8647" w:type="dxa"/>
          </w:tcPr>
          <w:p w:rsidR="002A0515" w:rsidRDefault="002A0515" w:rsidP="00A54BE4">
            <w:pPr>
              <w:pStyle w:val="TableText"/>
              <w:keepNext/>
              <w:jc w:val="both"/>
              <w:rPr>
                <w:szCs w:val="17"/>
              </w:rPr>
            </w:pPr>
            <w:r>
              <w:rPr>
                <w:i/>
                <w:szCs w:val="17"/>
              </w:rPr>
              <w:t>Credit quality of counterparties</w:t>
            </w:r>
            <w:r>
              <w:rPr>
                <w:szCs w:val="17"/>
              </w:rPr>
              <w:t xml:space="preserve">: the variation in RWA due to the changes in the assessed credit quality of the AI’s counterparties, whatever credit risk calculation approach the AI uses.  This row also includes potential changes due to internal models used under the IRB approach. </w:t>
            </w:r>
          </w:p>
        </w:tc>
      </w:tr>
      <w:tr w:rsidR="002A0515" w:rsidTr="00A54BE4">
        <w:tc>
          <w:tcPr>
            <w:tcW w:w="567"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w:t>
            </w:r>
          </w:p>
        </w:tc>
        <w:tc>
          <w:tcPr>
            <w:tcW w:w="8647" w:type="dxa"/>
          </w:tcPr>
          <w:p w:rsidR="002A0515" w:rsidRDefault="002A0515" w:rsidP="00A54BE4">
            <w:pPr>
              <w:pStyle w:val="TableText"/>
              <w:keepNext/>
              <w:jc w:val="both"/>
              <w:rPr>
                <w:szCs w:val="17"/>
              </w:rPr>
            </w:pPr>
            <w:r>
              <w:rPr>
                <w:i/>
                <w:szCs w:val="17"/>
              </w:rPr>
              <w:t>Model updates</w:t>
            </w:r>
            <w:r>
              <w:rPr>
                <w:szCs w:val="17"/>
              </w:rPr>
              <w:t xml:space="preserve">: the variation in RWA arising from model implementation, changes in model scope, or any material changes intended to address model </w:t>
            </w:r>
            <w:r>
              <w:rPr>
                <w:rFonts w:cs="Segoe UI"/>
                <w:szCs w:val="17"/>
              </w:rPr>
              <w:t>weaknesses</w:t>
            </w:r>
            <w:r>
              <w:rPr>
                <w:szCs w:val="17"/>
              </w:rPr>
              <w:t>, in respect of the model used for the IMM(CCR) approach.</w:t>
            </w:r>
          </w:p>
        </w:tc>
      </w:tr>
      <w:tr w:rsidR="002A0515" w:rsidTr="00A54BE4">
        <w:tc>
          <w:tcPr>
            <w:tcW w:w="567"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w:t>
            </w:r>
          </w:p>
        </w:tc>
        <w:tc>
          <w:tcPr>
            <w:tcW w:w="8647" w:type="dxa"/>
          </w:tcPr>
          <w:p w:rsidR="002A0515" w:rsidRDefault="002A0515" w:rsidP="00A54BE4">
            <w:pPr>
              <w:pStyle w:val="TableText"/>
              <w:keepNext/>
              <w:jc w:val="both"/>
              <w:rPr>
                <w:szCs w:val="17"/>
              </w:rPr>
            </w:pPr>
            <w:r>
              <w:rPr>
                <w:i/>
                <w:szCs w:val="17"/>
              </w:rPr>
              <w:t>Methodology and policy</w:t>
            </w:r>
            <w:r>
              <w:rPr>
                <w:szCs w:val="17"/>
              </w:rPr>
              <w:t xml:space="preserve">: the variation in RWA due to methodological changes in calculations driven by regulatory policy changes, such as new regulations, in </w:t>
            </w:r>
            <w:r>
              <w:rPr>
                <w:rFonts w:cs="Segoe UI"/>
                <w:szCs w:val="17"/>
              </w:rPr>
              <w:t>respect</w:t>
            </w:r>
            <w:r>
              <w:rPr>
                <w:szCs w:val="17"/>
              </w:rPr>
              <w:t xml:space="preserve"> of the use of the IMM(CCR) approach.</w:t>
            </w:r>
          </w:p>
        </w:tc>
      </w:tr>
      <w:tr w:rsidR="002A0515" w:rsidTr="00A54BE4">
        <w:tc>
          <w:tcPr>
            <w:tcW w:w="567"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w:t>
            </w:r>
          </w:p>
        </w:tc>
        <w:tc>
          <w:tcPr>
            <w:tcW w:w="8647" w:type="dxa"/>
          </w:tcPr>
          <w:p w:rsidR="002A0515" w:rsidRDefault="002A0515" w:rsidP="00A54BE4">
            <w:pPr>
              <w:pStyle w:val="TableText"/>
              <w:keepNext/>
              <w:jc w:val="both"/>
              <w:rPr>
                <w:szCs w:val="17"/>
              </w:rPr>
            </w:pPr>
            <w:r>
              <w:rPr>
                <w:i/>
                <w:szCs w:val="17"/>
              </w:rPr>
              <w:t>Acquisitions and disposals</w:t>
            </w:r>
            <w:r>
              <w:rPr>
                <w:szCs w:val="17"/>
              </w:rPr>
              <w:t xml:space="preserve">: the variation in RWA arising from changes in book </w:t>
            </w:r>
            <w:r>
              <w:rPr>
                <w:rFonts w:cs="Segoe UI"/>
                <w:szCs w:val="17"/>
              </w:rPr>
              <w:t>sizes</w:t>
            </w:r>
            <w:r>
              <w:rPr>
                <w:szCs w:val="17"/>
              </w:rPr>
              <w:t xml:space="preserve"> due to acquisitions and disposal of entities.</w:t>
            </w:r>
          </w:p>
        </w:tc>
      </w:tr>
      <w:tr w:rsidR="002A0515" w:rsidTr="00A54BE4">
        <w:trPr>
          <w:trHeight w:val="309"/>
        </w:trPr>
        <w:tc>
          <w:tcPr>
            <w:tcW w:w="567"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w:t>
            </w:r>
          </w:p>
        </w:tc>
        <w:tc>
          <w:tcPr>
            <w:tcW w:w="8647" w:type="dxa"/>
          </w:tcPr>
          <w:p w:rsidR="002A0515" w:rsidRDefault="002A0515" w:rsidP="00A54BE4">
            <w:pPr>
              <w:pStyle w:val="TableText"/>
              <w:keepNext/>
              <w:jc w:val="both"/>
              <w:rPr>
                <w:szCs w:val="17"/>
              </w:rPr>
            </w:pPr>
            <w:r>
              <w:rPr>
                <w:i/>
                <w:szCs w:val="17"/>
              </w:rPr>
              <w:t>Foreign exchange movements</w:t>
            </w:r>
            <w:r>
              <w:rPr>
                <w:szCs w:val="17"/>
              </w:rPr>
              <w:t xml:space="preserve">: the variation in RWA driven by foreign exchange rate </w:t>
            </w:r>
            <w:r>
              <w:rPr>
                <w:rFonts w:cs="Segoe UI"/>
                <w:szCs w:val="17"/>
              </w:rPr>
              <w:t>movements</w:t>
            </w:r>
            <w:r>
              <w:rPr>
                <w:szCs w:val="17"/>
              </w:rPr>
              <w:t>.</w:t>
            </w:r>
          </w:p>
        </w:tc>
      </w:tr>
      <w:tr w:rsidR="002A0515" w:rsidTr="00A54BE4">
        <w:trPr>
          <w:trHeight w:val="373"/>
        </w:trPr>
        <w:tc>
          <w:tcPr>
            <w:tcW w:w="567"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w:t>
            </w:r>
          </w:p>
        </w:tc>
        <w:tc>
          <w:tcPr>
            <w:tcW w:w="8647" w:type="dxa"/>
          </w:tcPr>
          <w:p w:rsidR="002A0515" w:rsidRDefault="002A0515" w:rsidP="00A54BE4">
            <w:pPr>
              <w:pStyle w:val="TableText"/>
              <w:keepNext/>
              <w:jc w:val="both"/>
              <w:rPr>
                <w:szCs w:val="17"/>
              </w:rPr>
            </w:pPr>
            <w:r>
              <w:rPr>
                <w:i/>
                <w:szCs w:val="17"/>
              </w:rPr>
              <w:t>Other</w:t>
            </w:r>
            <w:r>
              <w:rPr>
                <w:szCs w:val="17"/>
              </w:rPr>
              <w:t xml:space="preserve">: this category captures changes in RWA that cannot be attributed to any category above.  An AI should add additional rows between rows 7 and 8 (to be named 7a, 7b and so on) to disclose any other material drivers of RWA movements </w:t>
            </w:r>
            <w:r>
              <w:rPr>
                <w:rFonts w:cs="Segoe UI"/>
                <w:szCs w:val="17"/>
              </w:rPr>
              <w:t>in</w:t>
            </w:r>
            <w:r>
              <w:rPr>
                <w:szCs w:val="17"/>
              </w:rPr>
              <w:t xml:space="preserve"> the current reporting period.</w:t>
            </w:r>
          </w:p>
        </w:tc>
      </w:tr>
      <w:tr w:rsidR="002A0515" w:rsidTr="00A54BE4">
        <w:trPr>
          <w:trHeight w:val="373"/>
        </w:trPr>
        <w:tc>
          <w:tcPr>
            <w:tcW w:w="567"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9</w:t>
            </w:r>
          </w:p>
        </w:tc>
        <w:tc>
          <w:tcPr>
            <w:tcW w:w="8647" w:type="dxa"/>
          </w:tcPr>
          <w:p w:rsidR="002A0515" w:rsidRDefault="002A0515" w:rsidP="00A54BE4">
            <w:pPr>
              <w:pStyle w:val="TableText"/>
              <w:keepNext/>
              <w:jc w:val="both"/>
              <w:rPr>
                <w:i/>
                <w:szCs w:val="17"/>
              </w:rPr>
            </w:pPr>
            <w:r>
              <w:rPr>
                <w:i/>
                <w:szCs w:val="17"/>
              </w:rPr>
              <w:t>RWA as at end of reporting period</w:t>
            </w:r>
            <w:r>
              <w:rPr>
                <w:szCs w:val="17"/>
                <w:lang w:eastAsia="en-GB"/>
              </w:rPr>
              <w:t xml:space="preserve">: </w:t>
            </w:r>
            <w:r>
              <w:rPr>
                <w:rFonts w:cs="Segoe UI"/>
                <w:szCs w:val="17"/>
              </w:rPr>
              <w:t xml:space="preserve">the sum of rows 1 to 8 (including any additional row(s) inserted by the AI), which is also equal to the value in [OV1: 8/a] </w:t>
            </w:r>
            <w:r w:rsidRPr="005D4CB5">
              <w:rPr>
                <w:rFonts w:cs="Segoe UI"/>
                <w:szCs w:val="17"/>
              </w:rPr>
              <w:t>and the value in [CCR1:2/f].</w:t>
            </w:r>
          </w:p>
        </w:tc>
      </w:tr>
    </w:tbl>
    <w:p w:rsidR="002A0515" w:rsidRDefault="002A0515" w:rsidP="002A0515">
      <w:pPr>
        <w:spacing w:before="120" w:after="120"/>
        <w:rPr>
          <w:sz w:val="22"/>
        </w:rPr>
      </w:pPr>
    </w:p>
    <w:p w:rsidR="002A0515" w:rsidRDefault="002A0515" w:rsidP="002A0515">
      <w:pPr>
        <w:rPr>
          <w:rFonts w:eastAsia="新細明體"/>
          <w:lang w:eastAsia="zh-TW"/>
        </w:rPr>
      </w:pPr>
    </w:p>
    <w:p w:rsidR="002A0515" w:rsidRDefault="002A0515" w:rsidP="002A0515">
      <w:pPr>
        <w:spacing w:before="40" w:after="40"/>
        <w:jc w:val="both"/>
        <w:rPr>
          <w:sz w:val="22"/>
        </w:rPr>
        <w:sectPr w:rsidR="002A0515">
          <w:footerReference w:type="default" r:id="rId23"/>
          <w:pgSz w:w="11906" w:h="16838" w:code="9"/>
          <w:pgMar w:top="1440" w:right="1797" w:bottom="1440" w:left="1797" w:header="851" w:footer="737" w:gutter="0"/>
          <w:cols w:space="425"/>
          <w:docGrid w:type="linesAndChar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A0515" w:rsidTr="00A54BE4">
        <w:tc>
          <w:tcPr>
            <w:tcW w:w="9242" w:type="dxa"/>
            <w:gridSpan w:val="2"/>
            <w:tcBorders>
              <w:top w:val="nil"/>
            </w:tcBorders>
          </w:tcPr>
          <w:p w:rsidR="002A0515" w:rsidRDefault="002A0515" w:rsidP="00A54BE4">
            <w:pPr>
              <w:spacing w:before="40" w:after="40"/>
              <w:jc w:val="both"/>
              <w:rPr>
                <w:noProof/>
                <w:sz w:val="17"/>
                <w:lang w:eastAsia="en-GB"/>
              </w:rPr>
            </w:pPr>
            <w:r>
              <w:rPr>
                <w:sz w:val="22"/>
              </w:rPr>
              <w:t>Template CCR8: Exposures to CCPs</w:t>
            </w:r>
          </w:p>
        </w:tc>
      </w:tr>
      <w:tr w:rsidR="002A0515" w:rsidTr="00A54BE4">
        <w:tc>
          <w:tcPr>
            <w:tcW w:w="2008" w:type="dxa"/>
          </w:tcPr>
          <w:p w:rsidR="002A0515" w:rsidRDefault="002A0515" w:rsidP="00A54BE4">
            <w:pPr>
              <w:spacing w:before="40" w:after="40"/>
              <w:rPr>
                <w:noProof/>
                <w:sz w:val="17"/>
                <w:lang w:eastAsia="en-GB"/>
              </w:rPr>
            </w:pPr>
            <w:r>
              <w:rPr>
                <w:b/>
                <w:sz w:val="17"/>
                <w:lang w:eastAsia="en-GB"/>
              </w:rPr>
              <w:t>Purpose:</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To provide a comprehensive breakdown of exposures to both qualifying and non-qualifying CCPs and the respective RWAs, covering all types of credit risk exposures (including default risk exposures to the CCPs, credit risk exposures arising from initial margins posted, and default fund contributions made, to the CCPs).</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Scope of application: </w:t>
            </w:r>
          </w:p>
        </w:tc>
        <w:tc>
          <w:tcPr>
            <w:tcW w:w="7234" w:type="dxa"/>
          </w:tcPr>
          <w:p w:rsidR="002A0515" w:rsidRDefault="002A0515" w:rsidP="00A54BE4">
            <w:pPr>
              <w:spacing w:before="40" w:after="40"/>
              <w:jc w:val="both"/>
              <w:rPr>
                <w:rFonts w:eastAsia="新細明體"/>
                <w:b/>
                <w:sz w:val="17"/>
                <w:lang w:eastAsia="en-GB"/>
              </w:rPr>
            </w:pPr>
            <w:r>
              <w:rPr>
                <w:rFonts w:eastAsia="新細明體"/>
                <w:sz w:val="17"/>
                <w:lang w:eastAsia="en-GB"/>
              </w:rPr>
              <w:t>The template is mandatory for all AIs</w:t>
            </w:r>
            <w:r>
              <w:t xml:space="preserve"> </w:t>
            </w:r>
            <w:r>
              <w:rPr>
                <w:rFonts w:eastAsia="新細明體"/>
                <w:sz w:val="17"/>
                <w:lang w:eastAsia="en-GB"/>
              </w:rPr>
              <w:t>incorporated in Hong Kong.</w:t>
            </w:r>
          </w:p>
        </w:tc>
      </w:tr>
      <w:tr w:rsidR="002A0515" w:rsidTr="00A54BE4">
        <w:tc>
          <w:tcPr>
            <w:tcW w:w="2008" w:type="dxa"/>
          </w:tcPr>
          <w:p w:rsidR="002A0515" w:rsidRDefault="002A0515" w:rsidP="00A54BE4">
            <w:pPr>
              <w:spacing w:before="40" w:after="40"/>
              <w:rPr>
                <w:b/>
                <w:sz w:val="17"/>
                <w:lang w:eastAsia="en-GB"/>
              </w:rPr>
            </w:pPr>
            <w:r>
              <w:rPr>
                <w:b/>
                <w:sz w:val="17"/>
                <w:lang w:eastAsia="en-GB"/>
              </w:rPr>
              <w:t xml:space="preserve">Content: </w:t>
            </w:r>
          </w:p>
        </w:tc>
        <w:tc>
          <w:tcPr>
            <w:tcW w:w="7234" w:type="dxa"/>
          </w:tcPr>
          <w:p w:rsidR="002A0515" w:rsidRDefault="002A0515" w:rsidP="00A54BE4">
            <w:pPr>
              <w:spacing w:before="40" w:after="40"/>
              <w:jc w:val="both"/>
              <w:rPr>
                <w:rFonts w:eastAsia="新細明體"/>
                <w:b/>
                <w:sz w:val="17"/>
                <w:lang w:eastAsia="en-GB"/>
              </w:rPr>
            </w:pPr>
            <w:r>
              <w:rPr>
                <w:rFonts w:eastAsia="新細明體"/>
                <w:sz w:val="17"/>
                <w:lang w:eastAsia="en-GB"/>
              </w:rPr>
              <w:t>Exposures to CCPs after recognized CRM, and RWA corresponding to the exposures to CCPs.</w:t>
            </w:r>
          </w:p>
        </w:tc>
      </w:tr>
      <w:tr w:rsidR="002A0515" w:rsidTr="00A54BE4">
        <w:tc>
          <w:tcPr>
            <w:tcW w:w="2008" w:type="dxa"/>
          </w:tcPr>
          <w:p w:rsidR="002A0515" w:rsidRDefault="002A0515" w:rsidP="00A54BE4">
            <w:pPr>
              <w:spacing w:before="40" w:after="40"/>
              <w:rPr>
                <w:sz w:val="17"/>
                <w:lang w:eastAsia="en-GB"/>
              </w:rPr>
            </w:pPr>
            <w:r>
              <w:rPr>
                <w:b/>
                <w:sz w:val="17"/>
                <w:lang w:eastAsia="en-GB"/>
              </w:rPr>
              <w:t>Frequency:</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Semi-annual.</w:t>
            </w:r>
          </w:p>
        </w:tc>
      </w:tr>
      <w:tr w:rsidR="002A0515" w:rsidTr="00A54BE4">
        <w:tc>
          <w:tcPr>
            <w:tcW w:w="2008" w:type="dxa"/>
          </w:tcPr>
          <w:p w:rsidR="002A0515" w:rsidRDefault="002A0515" w:rsidP="00A54BE4">
            <w:pPr>
              <w:spacing w:before="40" w:after="40"/>
              <w:rPr>
                <w:sz w:val="17"/>
                <w:lang w:eastAsia="en-GB"/>
              </w:rPr>
            </w:pPr>
            <w:r>
              <w:rPr>
                <w:b/>
                <w:sz w:val="17"/>
                <w:lang w:eastAsia="en-GB"/>
              </w:rPr>
              <w:t>Format:</w:t>
            </w:r>
            <w:r>
              <w:rPr>
                <w:sz w:val="17"/>
                <w:lang w:eastAsia="en-GB"/>
              </w:rPr>
              <w:t xml:space="preserve"> </w:t>
            </w:r>
          </w:p>
        </w:tc>
        <w:tc>
          <w:tcPr>
            <w:tcW w:w="7234" w:type="dxa"/>
          </w:tcPr>
          <w:p w:rsidR="002A0515" w:rsidRDefault="002A0515" w:rsidP="00A54BE4">
            <w:pPr>
              <w:pStyle w:val="TableText"/>
              <w:jc w:val="both"/>
              <w:rPr>
                <w:lang w:eastAsia="en-GB"/>
              </w:rPr>
            </w:pPr>
            <w:r>
              <w:rPr>
                <w:lang w:eastAsia="en-GB"/>
              </w:rPr>
              <w:t>Fixed.  An AI should provide a breakdown of exposures to both qualifying and non-qualifying CCPs.</w:t>
            </w:r>
          </w:p>
        </w:tc>
      </w:tr>
      <w:tr w:rsidR="002A0515" w:rsidTr="00A54BE4">
        <w:tc>
          <w:tcPr>
            <w:tcW w:w="2008" w:type="dxa"/>
          </w:tcPr>
          <w:p w:rsidR="002A0515" w:rsidRDefault="002A0515" w:rsidP="00A54BE4">
            <w:pPr>
              <w:spacing w:before="40" w:after="40"/>
              <w:rPr>
                <w:b/>
                <w:sz w:val="17"/>
                <w:lang w:eastAsia="en-GB"/>
              </w:rPr>
            </w:pPr>
            <w:r>
              <w:rPr>
                <w:rFonts w:eastAsia="新細明體"/>
                <w:b/>
                <w:sz w:val="17"/>
                <w:szCs w:val="17"/>
                <w:lang w:eastAsia="en-GB"/>
              </w:rPr>
              <w:t>Accompanying narrative</w:t>
            </w:r>
            <w:r>
              <w:rPr>
                <w:rFonts w:eastAsia="新細明體"/>
                <w:sz w:val="17"/>
                <w:szCs w:val="17"/>
                <w:lang w:eastAsia="en-GB"/>
              </w:rPr>
              <w:t>:</w:t>
            </w:r>
          </w:p>
        </w:tc>
        <w:tc>
          <w:tcPr>
            <w:tcW w:w="7234" w:type="dxa"/>
          </w:tcPr>
          <w:p w:rsidR="002A0515" w:rsidRDefault="002A0515" w:rsidP="00A54BE4">
            <w:pPr>
              <w:pStyle w:val="TableText"/>
              <w:jc w:val="both"/>
              <w:rPr>
                <w:noProof/>
                <w:lang w:eastAsia="en-GB"/>
              </w:rPr>
            </w:pPr>
            <w:r>
              <w:rPr>
                <w:szCs w:val="17"/>
                <w:lang w:eastAsia="en-GB"/>
              </w:rPr>
              <w:t>An AI should supplement the template with a narrative commentary to explain any material movements in the current reporting period and the key drivers of such movements.</w:t>
            </w:r>
          </w:p>
        </w:tc>
      </w:tr>
      <w:tr w:rsidR="002A0515" w:rsidTr="00A54BE4">
        <w:tc>
          <w:tcPr>
            <w:tcW w:w="2008" w:type="dxa"/>
          </w:tcPr>
          <w:p w:rsidR="002A0515" w:rsidRDefault="002A0515" w:rsidP="00A54BE4">
            <w:pPr>
              <w:spacing w:before="40" w:after="40"/>
              <w:rPr>
                <w:rFonts w:eastAsia="新細明體"/>
                <w:b/>
                <w:sz w:val="17"/>
                <w:szCs w:val="17"/>
                <w:lang w:eastAsia="en-GB"/>
              </w:rPr>
            </w:pPr>
            <w:r>
              <w:rPr>
                <w:rFonts w:eastAsia="新細明體"/>
                <w:b/>
                <w:sz w:val="17"/>
                <w:szCs w:val="17"/>
                <w:lang w:eastAsia="en-GB"/>
              </w:rPr>
              <w:t>Corresponding BDR section:</w:t>
            </w:r>
          </w:p>
        </w:tc>
        <w:tc>
          <w:tcPr>
            <w:tcW w:w="7234" w:type="dxa"/>
          </w:tcPr>
          <w:p w:rsidR="002A0515" w:rsidRDefault="002A0515" w:rsidP="00A54BE4">
            <w:pPr>
              <w:pStyle w:val="TableText"/>
              <w:jc w:val="both"/>
              <w:rPr>
                <w:szCs w:val="17"/>
                <w:lang w:eastAsia="en-GB"/>
              </w:rPr>
            </w:pPr>
            <w:r>
              <w:rPr>
                <w:szCs w:val="17"/>
                <w:lang w:eastAsia="en-GB"/>
              </w:rPr>
              <w:t>16ZD</w:t>
            </w:r>
          </w:p>
        </w:tc>
      </w:tr>
    </w:tbl>
    <w:p w:rsidR="002A0515" w:rsidRDefault="002A0515" w:rsidP="002A0515">
      <w:pPr>
        <w:spacing w:before="40" w:after="40"/>
        <w:rPr>
          <w:sz w:val="22"/>
        </w:rPr>
      </w:pPr>
    </w:p>
    <w:tbl>
      <w:tblPr>
        <w:tblW w:w="9229"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33"/>
        <w:gridCol w:w="5379"/>
        <w:gridCol w:w="1708"/>
        <w:gridCol w:w="1709"/>
      </w:tblGrid>
      <w:tr w:rsidR="002A0515" w:rsidTr="00A54BE4">
        <w:trPr>
          <w:trHeight w:val="56"/>
          <w:tblHeader/>
        </w:trPr>
        <w:tc>
          <w:tcPr>
            <w:tcW w:w="433" w:type="dxa"/>
            <w:tcBorders>
              <w:top w:val="nil"/>
              <w:left w:val="nil"/>
              <w:bottom w:val="nil"/>
              <w:right w:val="nil"/>
            </w:tcBorders>
            <w:vAlign w:val="center"/>
          </w:tcPr>
          <w:p w:rsidR="002A0515" w:rsidRDefault="002A0515" w:rsidP="00A54BE4">
            <w:pPr>
              <w:pStyle w:val="TableText"/>
              <w:snapToGrid w:val="0"/>
              <w:jc w:val="center"/>
              <w:rPr>
                <w:lang w:eastAsia="en-CA"/>
              </w:rPr>
            </w:pPr>
          </w:p>
        </w:tc>
        <w:tc>
          <w:tcPr>
            <w:tcW w:w="5379" w:type="dxa"/>
            <w:tcBorders>
              <w:top w:val="nil"/>
              <w:left w:val="nil"/>
              <w:bottom w:val="nil"/>
              <w:right w:val="single" w:sz="4" w:space="0" w:color="auto"/>
            </w:tcBorders>
            <w:noWrap/>
            <w:vAlign w:val="center"/>
          </w:tcPr>
          <w:p w:rsidR="002A0515" w:rsidRDefault="002A0515" w:rsidP="00A54BE4">
            <w:pPr>
              <w:pStyle w:val="TableText"/>
              <w:snapToGrid w:val="0"/>
              <w:jc w:val="center"/>
              <w:rPr>
                <w:lang w:eastAsia="en-CA"/>
              </w:rPr>
            </w:pPr>
          </w:p>
        </w:tc>
        <w:tc>
          <w:tcPr>
            <w:tcW w:w="1708"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lang w:eastAsia="en-CA"/>
              </w:rPr>
            </w:pPr>
            <w:r>
              <w:rPr>
                <w:bCs/>
                <w:lang w:eastAsia="en-CA"/>
              </w:rPr>
              <w:t>(a)</w:t>
            </w:r>
          </w:p>
        </w:tc>
        <w:tc>
          <w:tcPr>
            <w:tcW w:w="1709"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lang w:eastAsia="en-CA"/>
              </w:rPr>
            </w:pPr>
            <w:r>
              <w:rPr>
                <w:bCs/>
                <w:lang w:eastAsia="en-CA"/>
              </w:rPr>
              <w:t>(b)</w:t>
            </w:r>
          </w:p>
        </w:tc>
      </w:tr>
      <w:tr w:rsidR="002A0515" w:rsidTr="00A54BE4">
        <w:trPr>
          <w:trHeight w:val="70"/>
          <w:tblHeader/>
        </w:trPr>
        <w:tc>
          <w:tcPr>
            <w:tcW w:w="433" w:type="dxa"/>
            <w:tcBorders>
              <w:top w:val="nil"/>
              <w:left w:val="nil"/>
              <w:bottom w:val="single" w:sz="4" w:space="0" w:color="auto"/>
              <w:right w:val="nil"/>
            </w:tcBorders>
            <w:vAlign w:val="center"/>
          </w:tcPr>
          <w:p w:rsidR="002A0515" w:rsidRDefault="002A0515" w:rsidP="00A54BE4">
            <w:pPr>
              <w:pStyle w:val="TableText"/>
              <w:snapToGrid w:val="0"/>
              <w:jc w:val="center"/>
              <w:rPr>
                <w:lang w:eastAsia="en-CA"/>
              </w:rPr>
            </w:pPr>
          </w:p>
        </w:tc>
        <w:tc>
          <w:tcPr>
            <w:tcW w:w="5379" w:type="dxa"/>
            <w:tcBorders>
              <w:top w:val="nil"/>
              <w:left w:val="nil"/>
              <w:bottom w:val="single" w:sz="4" w:space="0" w:color="auto"/>
              <w:right w:val="single" w:sz="4" w:space="0" w:color="auto"/>
            </w:tcBorders>
            <w:noWrap/>
            <w:vAlign w:val="center"/>
          </w:tcPr>
          <w:p w:rsidR="002A0515" w:rsidRDefault="002A0515" w:rsidP="00A54BE4">
            <w:pPr>
              <w:pStyle w:val="TableText"/>
              <w:snapToGrid w:val="0"/>
              <w:jc w:val="center"/>
              <w:rPr>
                <w:lang w:eastAsia="en-CA"/>
              </w:rPr>
            </w:pPr>
          </w:p>
        </w:tc>
        <w:tc>
          <w:tcPr>
            <w:tcW w:w="1708"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noProof/>
                <w:lang w:eastAsia="en-CA"/>
              </w:rPr>
            </w:pPr>
            <w:r>
              <w:rPr>
                <w:bCs/>
                <w:lang w:eastAsia="en-CA"/>
              </w:rPr>
              <w:t>Exposure after CRM</w:t>
            </w:r>
          </w:p>
        </w:tc>
        <w:tc>
          <w:tcPr>
            <w:tcW w:w="1709" w:type="dxa"/>
            <w:tcBorders>
              <w:top w:val="single" w:sz="4" w:space="0" w:color="auto"/>
              <w:left w:val="single" w:sz="4" w:space="0" w:color="auto"/>
              <w:bottom w:val="single" w:sz="4" w:space="0" w:color="auto"/>
              <w:right w:val="single" w:sz="4" w:space="0" w:color="auto"/>
            </w:tcBorders>
            <w:vAlign w:val="center"/>
          </w:tcPr>
          <w:p w:rsidR="002A0515" w:rsidRDefault="002A0515" w:rsidP="00A54BE4">
            <w:pPr>
              <w:pStyle w:val="TableText"/>
              <w:snapToGrid w:val="0"/>
              <w:jc w:val="center"/>
              <w:rPr>
                <w:bCs/>
                <w:noProof/>
                <w:lang w:eastAsia="en-CA"/>
              </w:rPr>
            </w:pPr>
            <w:r>
              <w:rPr>
                <w:bCs/>
                <w:lang w:eastAsia="en-CA"/>
              </w:rPr>
              <w:t>RWA</w:t>
            </w:r>
          </w:p>
        </w:tc>
      </w:tr>
      <w:tr w:rsidR="002A0515" w:rsidTr="00A54BE4">
        <w:trPr>
          <w:trHeight w:val="315"/>
        </w:trPr>
        <w:tc>
          <w:tcPr>
            <w:tcW w:w="433" w:type="dxa"/>
            <w:tcBorders>
              <w:top w:val="single" w:sz="4" w:space="0" w:color="auto"/>
              <w:left w:val="nil"/>
              <w:bottom w:val="single" w:sz="4" w:space="0" w:color="BFBFBF"/>
              <w:right w:val="single" w:sz="4" w:space="0" w:color="auto"/>
            </w:tcBorders>
          </w:tcPr>
          <w:p w:rsidR="002A0515" w:rsidRDefault="002A0515" w:rsidP="00A54BE4">
            <w:pPr>
              <w:pStyle w:val="TableText"/>
              <w:snapToGrid w:val="0"/>
              <w:rPr>
                <w:b/>
                <w:bCs/>
                <w:lang w:eastAsia="en-CA"/>
              </w:rPr>
            </w:pPr>
            <w:r>
              <w:rPr>
                <w:b/>
                <w:bCs/>
                <w:lang w:eastAsia="en-CA"/>
              </w:rPr>
              <w:t>1</w:t>
            </w:r>
          </w:p>
        </w:tc>
        <w:tc>
          <w:tcPr>
            <w:tcW w:w="5379" w:type="dxa"/>
            <w:tcBorders>
              <w:top w:val="single" w:sz="4" w:space="0" w:color="auto"/>
              <w:left w:val="single" w:sz="4" w:space="0" w:color="auto"/>
              <w:bottom w:val="single" w:sz="4" w:space="0" w:color="BFBFBF"/>
              <w:right w:val="single" w:sz="4" w:space="0" w:color="auto"/>
            </w:tcBorders>
          </w:tcPr>
          <w:p w:rsidR="002A0515" w:rsidRDefault="002A0515" w:rsidP="00A54BE4">
            <w:pPr>
              <w:pStyle w:val="TableText"/>
              <w:snapToGrid w:val="0"/>
              <w:rPr>
                <w:b/>
                <w:bCs/>
                <w:lang w:eastAsia="en-CA"/>
              </w:rPr>
            </w:pPr>
            <w:r>
              <w:rPr>
                <w:b/>
                <w:bCs/>
                <w:lang w:eastAsia="en-CA"/>
              </w:rPr>
              <w:t>Exposures of the AI as clearing member or clearing client</w:t>
            </w:r>
            <w:bookmarkStart w:id="6" w:name="_Ref48754812"/>
            <w:r>
              <w:rPr>
                <w:rStyle w:val="FootnoteReference"/>
                <w:b/>
                <w:bCs/>
                <w:lang w:eastAsia="en-CA"/>
              </w:rPr>
              <w:footnoteReference w:id="5"/>
            </w:r>
            <w:bookmarkEnd w:id="6"/>
            <w:r>
              <w:rPr>
                <w:b/>
                <w:bCs/>
                <w:lang w:eastAsia="en-CA"/>
              </w:rPr>
              <w:t xml:space="preserve"> to qualifying CCPs (total)</w:t>
            </w:r>
          </w:p>
        </w:tc>
        <w:tc>
          <w:tcPr>
            <w:tcW w:w="1708" w:type="dxa"/>
            <w:tcBorders>
              <w:top w:val="single" w:sz="4" w:space="0" w:color="auto"/>
              <w:left w:val="single" w:sz="4" w:space="0" w:color="auto"/>
              <w:right w:val="single" w:sz="4" w:space="0" w:color="auto"/>
            </w:tcBorders>
            <w:shd w:val="clear" w:color="auto" w:fill="D9D9D9"/>
            <w:noWrap/>
            <w:vAlign w:val="bottom"/>
          </w:tcPr>
          <w:p w:rsidR="002A0515" w:rsidRDefault="002A0515" w:rsidP="00A54BE4">
            <w:pPr>
              <w:pStyle w:val="TableText"/>
              <w:snapToGrid w:val="0"/>
              <w:rPr>
                <w:lang w:eastAsia="en-CA"/>
              </w:rPr>
            </w:pPr>
            <w:r>
              <w:rPr>
                <w:lang w:eastAsia="en-CA"/>
              </w:rPr>
              <w:t> </w:t>
            </w:r>
          </w:p>
        </w:tc>
        <w:tc>
          <w:tcPr>
            <w:tcW w:w="1709" w:type="dxa"/>
            <w:tcBorders>
              <w:top w:val="single" w:sz="4" w:space="0" w:color="auto"/>
              <w:left w:val="single" w:sz="4" w:space="0" w:color="auto"/>
              <w:bottom w:val="single" w:sz="4" w:space="0" w:color="BFBFBF"/>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409"/>
        </w:trPr>
        <w:tc>
          <w:tcPr>
            <w:tcW w:w="433" w:type="dxa"/>
            <w:tcBorders>
              <w:top w:val="single" w:sz="4" w:space="0" w:color="BFBFBF"/>
              <w:left w:val="nil"/>
              <w:right w:val="single" w:sz="4" w:space="0" w:color="auto"/>
            </w:tcBorders>
          </w:tcPr>
          <w:p w:rsidR="002A0515" w:rsidRDefault="002A0515" w:rsidP="00A54BE4">
            <w:pPr>
              <w:pStyle w:val="TableText"/>
              <w:snapToGrid w:val="0"/>
              <w:rPr>
                <w:lang w:eastAsia="en-CA"/>
              </w:rPr>
            </w:pPr>
            <w:r>
              <w:rPr>
                <w:lang w:eastAsia="en-CA"/>
              </w:rPr>
              <w:t>2</w:t>
            </w:r>
          </w:p>
        </w:tc>
        <w:tc>
          <w:tcPr>
            <w:tcW w:w="5379" w:type="dxa"/>
            <w:tcBorders>
              <w:top w:val="single" w:sz="4" w:space="0" w:color="BFBFBF"/>
              <w:left w:val="single" w:sz="4" w:space="0" w:color="auto"/>
              <w:right w:val="single" w:sz="4" w:space="0" w:color="auto"/>
            </w:tcBorders>
          </w:tcPr>
          <w:p w:rsidR="002A0515" w:rsidRDefault="002A0515" w:rsidP="00A54BE4">
            <w:pPr>
              <w:pStyle w:val="TableText"/>
              <w:snapToGrid w:val="0"/>
              <w:rPr>
                <w:lang w:eastAsia="en-CA"/>
              </w:rPr>
            </w:pPr>
            <w:r>
              <w:rPr>
                <w:lang w:eastAsia="en-CA"/>
              </w:rPr>
              <w:t>Default risk exposures to qualifying CCPs (excluding items disclosed in rows 7 to 10), of which:</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top w:val="single" w:sz="4" w:space="0" w:color="BFBFBF"/>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3</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w:t>
            </w:r>
            <w:proofErr w:type="spellStart"/>
            <w:r>
              <w:rPr>
                <w:lang w:eastAsia="en-CA"/>
              </w:rPr>
              <w:t>i</w:t>
            </w:r>
            <w:proofErr w:type="spellEnd"/>
            <w:r>
              <w:rPr>
                <w:lang w:eastAsia="en-CA"/>
              </w:rPr>
              <w:t>) OTC derivative transactions</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4</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(ii) Exchange-traded derivative contracts</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5</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(iii) Securities financing transactions</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217"/>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6</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(iv) Netting sets subject to valid cross-product netting agreements</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7</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Segregated initial margin</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shd w:val="clear" w:color="auto" w:fill="D9D9D9"/>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8</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Unsegregated initial margin</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9</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Funded default fund contributions</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bottom w:val="single" w:sz="4" w:space="0" w:color="auto"/>
              <w:right w:val="single" w:sz="4" w:space="0" w:color="auto"/>
            </w:tcBorders>
          </w:tcPr>
          <w:p w:rsidR="002A0515" w:rsidRDefault="002A0515" w:rsidP="00A54BE4">
            <w:pPr>
              <w:pStyle w:val="TableText"/>
              <w:snapToGrid w:val="0"/>
              <w:rPr>
                <w:lang w:eastAsia="en-CA"/>
              </w:rPr>
            </w:pPr>
            <w:r>
              <w:rPr>
                <w:lang w:eastAsia="en-CA"/>
              </w:rPr>
              <w:t>10</w:t>
            </w:r>
          </w:p>
        </w:tc>
        <w:tc>
          <w:tcPr>
            <w:tcW w:w="5379" w:type="dxa"/>
            <w:tcBorders>
              <w:left w:val="single" w:sz="4" w:space="0" w:color="auto"/>
              <w:bottom w:val="single" w:sz="4" w:space="0" w:color="auto"/>
              <w:right w:val="single" w:sz="4" w:space="0" w:color="auto"/>
            </w:tcBorders>
          </w:tcPr>
          <w:p w:rsidR="002A0515" w:rsidRDefault="002A0515" w:rsidP="00A54BE4">
            <w:pPr>
              <w:pStyle w:val="TableText"/>
              <w:snapToGrid w:val="0"/>
              <w:rPr>
                <w:lang w:eastAsia="en-CA"/>
              </w:rPr>
            </w:pPr>
            <w:r>
              <w:rPr>
                <w:lang w:eastAsia="en-CA"/>
              </w:rPr>
              <w:t>Unfunded default fund contributions</w:t>
            </w:r>
          </w:p>
        </w:tc>
        <w:tc>
          <w:tcPr>
            <w:tcW w:w="1708" w:type="dxa"/>
            <w:tcBorders>
              <w:left w:val="single" w:sz="4" w:space="0" w:color="auto"/>
              <w:bottom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bottom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15"/>
        </w:trPr>
        <w:tc>
          <w:tcPr>
            <w:tcW w:w="433" w:type="dxa"/>
            <w:tcBorders>
              <w:top w:val="single" w:sz="4" w:space="0" w:color="auto"/>
              <w:left w:val="nil"/>
              <w:right w:val="single" w:sz="4" w:space="0" w:color="auto"/>
            </w:tcBorders>
          </w:tcPr>
          <w:p w:rsidR="002A0515" w:rsidRDefault="002A0515" w:rsidP="00A54BE4">
            <w:pPr>
              <w:pStyle w:val="TableText"/>
              <w:snapToGrid w:val="0"/>
              <w:rPr>
                <w:b/>
                <w:bCs/>
                <w:lang w:eastAsia="en-CA"/>
              </w:rPr>
            </w:pPr>
            <w:r>
              <w:rPr>
                <w:b/>
                <w:bCs/>
                <w:lang w:eastAsia="en-CA"/>
              </w:rPr>
              <w:t>11</w:t>
            </w:r>
          </w:p>
        </w:tc>
        <w:tc>
          <w:tcPr>
            <w:tcW w:w="5379" w:type="dxa"/>
            <w:tcBorders>
              <w:top w:val="single" w:sz="4" w:space="0" w:color="auto"/>
              <w:left w:val="single" w:sz="4" w:space="0" w:color="auto"/>
              <w:right w:val="single" w:sz="4" w:space="0" w:color="auto"/>
            </w:tcBorders>
            <w:noWrap/>
          </w:tcPr>
          <w:p w:rsidR="002A0515" w:rsidRDefault="002A0515" w:rsidP="00A54BE4">
            <w:pPr>
              <w:pStyle w:val="TableText"/>
              <w:snapToGrid w:val="0"/>
              <w:rPr>
                <w:b/>
                <w:bCs/>
                <w:lang w:eastAsia="en-CA"/>
              </w:rPr>
            </w:pPr>
            <w:r>
              <w:rPr>
                <w:b/>
                <w:bCs/>
                <w:lang w:eastAsia="en-CA"/>
              </w:rPr>
              <w:t xml:space="preserve">Exposures of the AI as clearing member </w:t>
            </w:r>
            <w:r w:rsidRPr="004F00A9">
              <w:rPr>
                <w:b/>
                <w:bCs/>
                <w:lang w:eastAsia="en-CA"/>
              </w:rPr>
              <w:t xml:space="preserve">or </w:t>
            </w:r>
            <w:r>
              <w:rPr>
                <w:b/>
                <w:bCs/>
                <w:lang w:eastAsia="en-CA"/>
              </w:rPr>
              <w:t xml:space="preserve">clearing </w:t>
            </w:r>
            <w:r w:rsidRPr="004F00A9">
              <w:rPr>
                <w:b/>
                <w:bCs/>
                <w:lang w:eastAsia="en-CA"/>
              </w:rPr>
              <w:t>client</w:t>
            </w:r>
            <w:r>
              <w:rPr>
                <w:b/>
                <w:bCs/>
                <w:lang w:eastAsia="en-CA"/>
              </w:rPr>
              <w:t xml:space="preserve"> to non-qualifying CCPs (total)</w:t>
            </w:r>
          </w:p>
        </w:tc>
        <w:tc>
          <w:tcPr>
            <w:tcW w:w="1708" w:type="dxa"/>
            <w:tcBorders>
              <w:top w:val="single" w:sz="4" w:space="0" w:color="auto"/>
              <w:left w:val="single" w:sz="4" w:space="0" w:color="auto"/>
              <w:right w:val="single" w:sz="4" w:space="0" w:color="auto"/>
            </w:tcBorders>
            <w:shd w:val="clear" w:color="auto" w:fill="D9D9D9"/>
            <w:noWrap/>
            <w:vAlign w:val="bottom"/>
          </w:tcPr>
          <w:p w:rsidR="002A0515" w:rsidRDefault="002A0515" w:rsidP="00A54BE4">
            <w:pPr>
              <w:pStyle w:val="TableText"/>
              <w:snapToGrid w:val="0"/>
              <w:rPr>
                <w:lang w:eastAsia="en-CA"/>
              </w:rPr>
            </w:pPr>
            <w:r>
              <w:rPr>
                <w:lang w:eastAsia="en-CA"/>
              </w:rPr>
              <w:t> </w:t>
            </w:r>
          </w:p>
        </w:tc>
        <w:tc>
          <w:tcPr>
            <w:tcW w:w="1709" w:type="dxa"/>
            <w:tcBorders>
              <w:top w:val="single" w:sz="4" w:space="0" w:color="auto"/>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47"/>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12</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Default risk exposures to non-qualifying CCPs (excluding items disclosed in rows 17 to 20), of which:</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13</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w:t>
            </w:r>
            <w:proofErr w:type="spellStart"/>
            <w:r>
              <w:rPr>
                <w:lang w:eastAsia="en-CA"/>
              </w:rPr>
              <w:t>i</w:t>
            </w:r>
            <w:proofErr w:type="spellEnd"/>
            <w:r>
              <w:rPr>
                <w:lang w:eastAsia="en-CA"/>
              </w:rPr>
              <w:t>) OTC derivative transactions</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14</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(ii) Exchange-traded derivative contracts</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15</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(iii) Securities financing transactions</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81"/>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16</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(iv) Netting sets subject to valid cross-product netting agreements</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17</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Segregated initial margin</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shd w:val="clear" w:color="auto" w:fill="D9D9D9"/>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right w:val="single" w:sz="4" w:space="0" w:color="auto"/>
            </w:tcBorders>
          </w:tcPr>
          <w:p w:rsidR="002A0515" w:rsidRDefault="002A0515" w:rsidP="00A54BE4">
            <w:pPr>
              <w:pStyle w:val="TableText"/>
              <w:snapToGrid w:val="0"/>
              <w:rPr>
                <w:lang w:eastAsia="en-CA"/>
              </w:rPr>
            </w:pPr>
            <w:r>
              <w:rPr>
                <w:lang w:eastAsia="en-CA"/>
              </w:rPr>
              <w:t>18</w:t>
            </w:r>
          </w:p>
        </w:tc>
        <w:tc>
          <w:tcPr>
            <w:tcW w:w="5379" w:type="dxa"/>
            <w:tcBorders>
              <w:left w:val="single" w:sz="4" w:space="0" w:color="auto"/>
              <w:right w:val="single" w:sz="4" w:space="0" w:color="auto"/>
            </w:tcBorders>
          </w:tcPr>
          <w:p w:rsidR="002A0515" w:rsidRDefault="002A0515" w:rsidP="00A54BE4">
            <w:pPr>
              <w:pStyle w:val="TableText"/>
              <w:snapToGrid w:val="0"/>
              <w:rPr>
                <w:lang w:eastAsia="en-CA"/>
              </w:rPr>
            </w:pPr>
            <w:r>
              <w:rPr>
                <w:lang w:eastAsia="en-CA"/>
              </w:rPr>
              <w:t>Unsegregated initial margin</w:t>
            </w:r>
          </w:p>
        </w:tc>
        <w:tc>
          <w:tcPr>
            <w:tcW w:w="1708"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bottom w:val="single" w:sz="4" w:space="0" w:color="BFBFBF"/>
              <w:right w:val="single" w:sz="4" w:space="0" w:color="auto"/>
            </w:tcBorders>
          </w:tcPr>
          <w:p w:rsidR="002A0515" w:rsidRDefault="002A0515" w:rsidP="00A54BE4">
            <w:pPr>
              <w:pStyle w:val="TableText"/>
              <w:snapToGrid w:val="0"/>
              <w:rPr>
                <w:lang w:eastAsia="en-CA"/>
              </w:rPr>
            </w:pPr>
            <w:r>
              <w:rPr>
                <w:lang w:eastAsia="en-CA"/>
              </w:rPr>
              <w:t>19</w:t>
            </w:r>
          </w:p>
        </w:tc>
        <w:tc>
          <w:tcPr>
            <w:tcW w:w="5379" w:type="dxa"/>
            <w:tcBorders>
              <w:left w:val="single" w:sz="4" w:space="0" w:color="auto"/>
              <w:bottom w:val="single" w:sz="4" w:space="0" w:color="BFBFBF"/>
              <w:right w:val="single" w:sz="4" w:space="0" w:color="auto"/>
            </w:tcBorders>
          </w:tcPr>
          <w:p w:rsidR="002A0515" w:rsidRDefault="002A0515" w:rsidP="00A54BE4">
            <w:pPr>
              <w:pStyle w:val="TableText"/>
              <w:snapToGrid w:val="0"/>
              <w:rPr>
                <w:lang w:eastAsia="en-CA"/>
              </w:rPr>
            </w:pPr>
            <w:r>
              <w:rPr>
                <w:lang w:eastAsia="en-CA"/>
              </w:rPr>
              <w:t>Funded default fund contributions</w:t>
            </w:r>
          </w:p>
        </w:tc>
        <w:tc>
          <w:tcPr>
            <w:tcW w:w="1708" w:type="dxa"/>
            <w:tcBorders>
              <w:left w:val="single" w:sz="4" w:space="0" w:color="auto"/>
              <w:bottom w:val="single" w:sz="4" w:space="0" w:color="BFBFBF"/>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bottom w:val="single" w:sz="4" w:space="0" w:color="BFBFBF"/>
              <w:right w:val="single" w:sz="4" w:space="0" w:color="auto"/>
            </w:tcBorders>
            <w:noWrap/>
            <w:vAlign w:val="bottom"/>
          </w:tcPr>
          <w:p w:rsidR="002A0515" w:rsidRDefault="002A0515" w:rsidP="00A54BE4">
            <w:pPr>
              <w:pStyle w:val="TableText"/>
              <w:snapToGrid w:val="0"/>
              <w:rPr>
                <w:lang w:eastAsia="en-CA"/>
              </w:rPr>
            </w:pPr>
            <w:r>
              <w:rPr>
                <w:lang w:eastAsia="en-CA"/>
              </w:rPr>
              <w:t> </w:t>
            </w:r>
          </w:p>
        </w:tc>
      </w:tr>
      <w:tr w:rsidR="002A0515" w:rsidTr="00A54BE4">
        <w:trPr>
          <w:trHeight w:val="300"/>
        </w:trPr>
        <w:tc>
          <w:tcPr>
            <w:tcW w:w="433" w:type="dxa"/>
            <w:tcBorders>
              <w:left w:val="nil"/>
              <w:bottom w:val="single" w:sz="4" w:space="0" w:color="auto"/>
              <w:right w:val="single" w:sz="4" w:space="0" w:color="auto"/>
            </w:tcBorders>
          </w:tcPr>
          <w:p w:rsidR="002A0515" w:rsidRDefault="002A0515" w:rsidP="00A54BE4">
            <w:pPr>
              <w:pStyle w:val="TableText"/>
              <w:snapToGrid w:val="0"/>
              <w:rPr>
                <w:lang w:eastAsia="en-CA"/>
              </w:rPr>
            </w:pPr>
            <w:r>
              <w:rPr>
                <w:lang w:eastAsia="en-CA"/>
              </w:rPr>
              <w:t>20</w:t>
            </w:r>
          </w:p>
        </w:tc>
        <w:tc>
          <w:tcPr>
            <w:tcW w:w="5379" w:type="dxa"/>
            <w:tcBorders>
              <w:left w:val="single" w:sz="4" w:space="0" w:color="auto"/>
              <w:bottom w:val="single" w:sz="4" w:space="0" w:color="auto"/>
              <w:right w:val="single" w:sz="4" w:space="0" w:color="auto"/>
            </w:tcBorders>
          </w:tcPr>
          <w:p w:rsidR="002A0515" w:rsidRDefault="002A0515" w:rsidP="00A54BE4">
            <w:pPr>
              <w:pStyle w:val="TableText"/>
              <w:snapToGrid w:val="0"/>
              <w:rPr>
                <w:lang w:eastAsia="en-CA"/>
              </w:rPr>
            </w:pPr>
            <w:r>
              <w:rPr>
                <w:lang w:eastAsia="en-CA"/>
              </w:rPr>
              <w:t>Unfunded default fund contributions</w:t>
            </w:r>
          </w:p>
        </w:tc>
        <w:tc>
          <w:tcPr>
            <w:tcW w:w="1708" w:type="dxa"/>
            <w:tcBorders>
              <w:left w:val="single" w:sz="4" w:space="0" w:color="auto"/>
              <w:bottom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c>
          <w:tcPr>
            <w:tcW w:w="1709" w:type="dxa"/>
            <w:tcBorders>
              <w:left w:val="single" w:sz="4" w:space="0" w:color="auto"/>
              <w:bottom w:val="single" w:sz="4" w:space="0" w:color="auto"/>
              <w:right w:val="single" w:sz="4" w:space="0" w:color="auto"/>
            </w:tcBorders>
            <w:noWrap/>
            <w:vAlign w:val="bottom"/>
          </w:tcPr>
          <w:p w:rsidR="002A0515" w:rsidRDefault="002A0515" w:rsidP="00A54BE4">
            <w:pPr>
              <w:pStyle w:val="TableText"/>
              <w:snapToGrid w:val="0"/>
              <w:rPr>
                <w:lang w:eastAsia="en-CA"/>
              </w:rPr>
            </w:pPr>
            <w:r>
              <w:rPr>
                <w:lang w:eastAsia="en-CA"/>
              </w:rPr>
              <w:t> </w:t>
            </w:r>
          </w:p>
        </w:tc>
      </w:tr>
    </w:tbl>
    <w:p w:rsidR="002A0515" w:rsidRDefault="002A0515" w:rsidP="002A0515">
      <w:pPr>
        <w:spacing w:before="120" w:after="120"/>
        <w:ind w:leftChars="-283" w:left="-566"/>
        <w:rPr>
          <w:sz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63"/>
      </w:tblGrid>
      <w:tr w:rsidR="002A0515" w:rsidTr="00A54BE4">
        <w:trPr>
          <w:tblHeader/>
        </w:trPr>
        <w:tc>
          <w:tcPr>
            <w:tcW w:w="9214" w:type="dxa"/>
            <w:gridSpan w:val="2"/>
            <w:shd w:val="clear" w:color="auto" w:fill="BFBFBF"/>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Explanatory Note</w:t>
            </w:r>
          </w:p>
        </w:tc>
      </w:tr>
      <w:tr w:rsidR="002A0515" w:rsidTr="00A54BE4">
        <w:trPr>
          <w:trHeight w:val="153"/>
        </w:trPr>
        <w:tc>
          <w:tcPr>
            <w:tcW w:w="9214" w:type="dxa"/>
            <w:gridSpan w:val="2"/>
            <w:shd w:val="clear" w:color="auto" w:fill="F2F2F2"/>
          </w:tcPr>
          <w:p w:rsidR="002A0515" w:rsidRDefault="002A0515" w:rsidP="00A54BE4">
            <w:pPr>
              <w:spacing w:before="40" w:after="40"/>
              <w:jc w:val="both"/>
              <w:rPr>
                <w:rFonts w:eastAsia="新細明體"/>
                <w:b/>
                <w:sz w:val="17"/>
                <w:szCs w:val="17"/>
                <w:lang w:eastAsia="en-GB"/>
              </w:rPr>
            </w:pPr>
            <w:r>
              <w:rPr>
                <w:rFonts w:eastAsia="新細明體"/>
                <w:b/>
                <w:sz w:val="17"/>
                <w:szCs w:val="17"/>
                <w:lang w:eastAsia="en-GB"/>
              </w:rPr>
              <w:t>Columns</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(a)</w:t>
            </w:r>
          </w:p>
        </w:tc>
        <w:tc>
          <w:tcPr>
            <w:tcW w:w="8363" w:type="dxa"/>
          </w:tcPr>
          <w:p w:rsidR="002A0515" w:rsidRDefault="002A0515" w:rsidP="00A54BE4">
            <w:pPr>
              <w:pStyle w:val="TableText"/>
              <w:keepNext/>
              <w:jc w:val="both"/>
              <w:rPr>
                <w:lang w:eastAsia="en-GB"/>
              </w:rPr>
            </w:pPr>
            <w:r>
              <w:rPr>
                <w:i/>
                <w:lang w:eastAsia="en-GB"/>
              </w:rPr>
              <w:t>Exposure after CRM</w:t>
            </w:r>
            <w:r>
              <w:rPr>
                <w:lang w:eastAsia="en-GB"/>
              </w:rPr>
              <w:t xml:space="preserve">: </w:t>
            </w:r>
          </w:p>
          <w:p w:rsidR="002A0515" w:rsidRPr="00481688" w:rsidRDefault="002A0515" w:rsidP="002A0515">
            <w:pPr>
              <w:pStyle w:val="ListParagraph"/>
              <w:keepLines/>
              <w:widowControl w:val="0"/>
              <w:numPr>
                <w:ilvl w:val="0"/>
                <w:numId w:val="25"/>
              </w:numPr>
              <w:spacing w:before="20" w:after="20"/>
              <w:ind w:leftChars="0" w:left="317" w:hanging="317"/>
              <w:jc w:val="both"/>
              <w:rPr>
                <w:rFonts w:cs="Segoe UI"/>
                <w:szCs w:val="17"/>
              </w:rPr>
            </w:pPr>
            <w:r w:rsidRPr="00481688">
              <w:rPr>
                <w:rFonts w:cs="Segoe UI"/>
                <w:sz w:val="17"/>
                <w:szCs w:val="17"/>
              </w:rPr>
              <w:t xml:space="preserve">For rows 2 to 6 and 12 to 16, the amount should be the “outstanding default risk exposure” or “default risk exposure”, as the case may be, as defined under the BCR, for the derivative contracts or SFTs calculated in accordance with </w:t>
            </w:r>
            <w:r w:rsidRPr="00481688">
              <w:rPr>
                <w:rFonts w:cs="Segoe UI"/>
                <w:sz w:val="17"/>
                <w:szCs w:val="17"/>
                <w:lang w:eastAsia="en-GB"/>
              </w:rPr>
              <w:t xml:space="preserve">Part 6A of </w:t>
            </w:r>
            <w:r w:rsidRPr="00481688">
              <w:rPr>
                <w:rFonts w:cs="Segoe UI"/>
                <w:sz w:val="17"/>
                <w:szCs w:val="17"/>
              </w:rPr>
              <w:t xml:space="preserve">the BCR.  For any SFTs subject to </w:t>
            </w:r>
            <w:r w:rsidRPr="00481688">
              <w:rPr>
                <w:rFonts w:cs="Segoe UI"/>
                <w:sz w:val="17"/>
                <w:szCs w:val="17"/>
                <w:lang w:eastAsia="en-GB"/>
              </w:rPr>
              <w:t>section 226MJ of</w:t>
            </w:r>
            <w:r w:rsidRPr="00481688">
              <w:rPr>
                <w:rFonts w:cs="Segoe UI"/>
                <w:sz w:val="17"/>
                <w:szCs w:val="17"/>
              </w:rPr>
              <w:t xml:space="preserve"> the </w:t>
            </w:r>
            <w:r w:rsidRPr="00481688">
              <w:rPr>
                <w:rFonts w:cs="Segoe UI"/>
                <w:sz w:val="17"/>
                <w:szCs w:val="17"/>
                <w:lang w:eastAsia="en-GB"/>
              </w:rPr>
              <w:t xml:space="preserve">BCR where the CRM effect of any recognized collateral received under the SFTs </w:t>
            </w:r>
            <w:r w:rsidRPr="00481688">
              <w:rPr>
                <w:rFonts w:cs="Segoe UI"/>
                <w:sz w:val="17"/>
                <w:szCs w:val="17"/>
              </w:rPr>
              <w:t xml:space="preserve">is </w:t>
            </w:r>
            <w:r w:rsidRPr="00481688">
              <w:rPr>
                <w:rFonts w:cs="Segoe UI"/>
                <w:sz w:val="17"/>
                <w:szCs w:val="17"/>
                <w:lang w:eastAsia="en-GB"/>
              </w:rPr>
              <w:t xml:space="preserve">taken into account </w:t>
            </w:r>
            <w:r w:rsidRPr="00481688">
              <w:rPr>
                <w:rFonts w:cs="Segoe UI"/>
                <w:sz w:val="17"/>
                <w:szCs w:val="17"/>
              </w:rPr>
              <w:t xml:space="preserve">by using the </w:t>
            </w:r>
            <w:r w:rsidRPr="00481688">
              <w:rPr>
                <w:rFonts w:cs="Segoe UI"/>
                <w:sz w:val="17"/>
                <w:szCs w:val="17"/>
                <w:lang w:eastAsia="en-GB"/>
              </w:rPr>
              <w:t>comprehensive</w:t>
            </w:r>
            <w:r w:rsidRPr="00481688">
              <w:rPr>
                <w:rFonts w:cs="Segoe UI"/>
                <w:sz w:val="17"/>
                <w:szCs w:val="17"/>
              </w:rPr>
              <w:t xml:space="preserve"> approach</w:t>
            </w:r>
            <w:r w:rsidRPr="00481688">
              <w:rPr>
                <w:rFonts w:cs="Segoe UI"/>
                <w:sz w:val="17"/>
                <w:szCs w:val="17"/>
                <w:lang w:eastAsia="en-GB"/>
              </w:rPr>
              <w:t xml:space="preserve"> under Part 4 of the BCR</w:t>
            </w:r>
            <w:r w:rsidRPr="00481688">
              <w:rPr>
                <w:rFonts w:cs="Segoe UI"/>
                <w:sz w:val="17"/>
                <w:szCs w:val="17"/>
              </w:rPr>
              <w:t xml:space="preserve">, the amount disclosed should be the </w:t>
            </w:r>
            <w:r w:rsidRPr="00481688">
              <w:rPr>
                <w:rFonts w:cs="Segoe UI"/>
                <w:sz w:val="17"/>
                <w:szCs w:val="17"/>
                <w:lang w:eastAsia="en-GB"/>
              </w:rPr>
              <w:t>net credit exposure</w:t>
            </w:r>
            <w:r w:rsidRPr="00481688">
              <w:rPr>
                <w:rFonts w:cs="Segoe UI"/>
                <w:sz w:val="17"/>
                <w:szCs w:val="17"/>
              </w:rPr>
              <w:t xml:space="preserve"> calculated </w:t>
            </w:r>
            <w:r w:rsidRPr="00481688">
              <w:rPr>
                <w:rFonts w:cs="Segoe UI"/>
                <w:sz w:val="17"/>
                <w:szCs w:val="17"/>
                <w:lang w:eastAsia="en-GB"/>
              </w:rPr>
              <w:t>in accordance with section 88 of the BCR</w:t>
            </w:r>
            <w:r w:rsidRPr="00481688">
              <w:rPr>
                <w:rFonts w:cs="Segoe UI"/>
                <w:sz w:val="17"/>
                <w:szCs w:val="17"/>
              </w:rPr>
              <w:t>.</w:t>
            </w:r>
          </w:p>
          <w:p w:rsidR="002A0515" w:rsidRDefault="002A0515" w:rsidP="002A0515">
            <w:pPr>
              <w:pStyle w:val="ListParagraph"/>
              <w:keepLines/>
              <w:widowControl w:val="0"/>
              <w:numPr>
                <w:ilvl w:val="0"/>
                <w:numId w:val="25"/>
              </w:numPr>
              <w:spacing w:before="20" w:after="20"/>
              <w:ind w:leftChars="0" w:left="317" w:hanging="317"/>
              <w:jc w:val="both"/>
              <w:rPr>
                <w:szCs w:val="17"/>
              </w:rPr>
            </w:pPr>
            <w:r w:rsidRPr="00481688">
              <w:rPr>
                <w:rFonts w:cs="Segoe UI"/>
                <w:sz w:val="17"/>
                <w:szCs w:val="17"/>
              </w:rPr>
              <w:t>For rows 7 to 10 and 17 to 20, the amount should be the amount of the initial margin posted or the amount of default fund contribution made or committed by the AI.</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(b)</w:t>
            </w:r>
          </w:p>
        </w:tc>
        <w:tc>
          <w:tcPr>
            <w:tcW w:w="8363" w:type="dxa"/>
          </w:tcPr>
          <w:p w:rsidR="002A0515" w:rsidRDefault="002A0515" w:rsidP="00A54BE4">
            <w:pPr>
              <w:pStyle w:val="TableText"/>
              <w:keepNext/>
              <w:jc w:val="both"/>
              <w:rPr>
                <w:szCs w:val="17"/>
              </w:rPr>
            </w:pPr>
            <w:r>
              <w:rPr>
                <w:i/>
                <w:szCs w:val="17"/>
              </w:rPr>
              <w:t>RWA</w:t>
            </w:r>
            <w:r>
              <w:rPr>
                <w:szCs w:val="17"/>
              </w:rPr>
              <w:t>: the RWA calculated in accordance with Division 4, Part 6A of the BCR</w:t>
            </w:r>
            <w:r>
              <w:rPr>
                <w:rFonts w:cs="Segoe UI"/>
                <w:szCs w:val="17"/>
                <w:lang w:eastAsia="en-GB"/>
              </w:rPr>
              <w:t>.</w:t>
            </w:r>
          </w:p>
        </w:tc>
      </w:tr>
      <w:tr w:rsidR="002A0515" w:rsidTr="00A54BE4">
        <w:trPr>
          <w:trHeight w:val="373"/>
        </w:trPr>
        <w:tc>
          <w:tcPr>
            <w:tcW w:w="9214" w:type="dxa"/>
            <w:gridSpan w:val="2"/>
            <w:shd w:val="clear" w:color="auto" w:fill="F2F2F2"/>
          </w:tcPr>
          <w:p w:rsidR="002A0515" w:rsidRDefault="002A0515" w:rsidP="00A54BE4">
            <w:pPr>
              <w:spacing w:before="40" w:after="40"/>
              <w:jc w:val="both"/>
              <w:rPr>
                <w:i/>
                <w:szCs w:val="17"/>
              </w:rPr>
            </w:pPr>
            <w:r>
              <w:rPr>
                <w:rFonts w:eastAsia="新細明體"/>
                <w:b/>
                <w:sz w:val="17"/>
                <w:szCs w:val="17"/>
                <w:lang w:eastAsia="en-GB"/>
              </w:rPr>
              <w:t>Rows</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 &amp; 11</w:t>
            </w:r>
          </w:p>
        </w:tc>
        <w:tc>
          <w:tcPr>
            <w:tcW w:w="8363" w:type="dxa"/>
          </w:tcPr>
          <w:p w:rsidR="002A0515" w:rsidRDefault="002A0515" w:rsidP="00A54BE4">
            <w:pPr>
              <w:pStyle w:val="TableNote"/>
              <w:keepNext/>
              <w:rPr>
                <w:i/>
                <w:szCs w:val="17"/>
              </w:rPr>
            </w:pPr>
            <w:r>
              <w:rPr>
                <w:rFonts w:cs="Segoe UI"/>
                <w:i/>
                <w:sz w:val="17"/>
                <w:szCs w:val="17"/>
                <w:lang w:eastAsia="en-GB"/>
              </w:rPr>
              <w:t>Exposures of the AI as clearing member or clearing client to qualifying CCPs / non-qualifying CCPs (total)</w:t>
            </w:r>
            <w:r>
              <w:rPr>
                <w:rFonts w:cs="Segoe UI"/>
                <w:sz w:val="17"/>
                <w:szCs w:val="17"/>
                <w:lang w:eastAsia="en-GB"/>
              </w:rPr>
              <w:t>: for column (b), the value in row 1 should equal the sum of values in rows 2, 8, 9 and 10; the value in row 11 should equal the sum of values in rows 12, 18, 19 and 20.  Column (a) should be left blank.</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2 &amp; 12</w:t>
            </w:r>
          </w:p>
        </w:tc>
        <w:tc>
          <w:tcPr>
            <w:tcW w:w="8363" w:type="dxa"/>
          </w:tcPr>
          <w:p w:rsidR="002A0515" w:rsidRDefault="002A0515" w:rsidP="00A54BE4">
            <w:pPr>
              <w:pStyle w:val="TableText"/>
              <w:keepNext/>
              <w:jc w:val="both"/>
              <w:rPr>
                <w:rFonts w:cs="Segoe UI"/>
                <w:szCs w:val="17"/>
                <w:lang w:eastAsia="en-GB"/>
              </w:rPr>
            </w:pPr>
            <w:r>
              <w:rPr>
                <w:rFonts w:cs="Segoe UI"/>
                <w:i/>
                <w:szCs w:val="17"/>
                <w:lang w:eastAsia="en-GB"/>
              </w:rPr>
              <w:t>Default risk exposures to qualifying CCPs / non-qualifying CCPs (excluding items disclosed in rows 7 to 10 / rows 17 to 20</w:t>
            </w:r>
            <w:r>
              <w:rPr>
                <w:rFonts w:cs="Segoe UI"/>
                <w:szCs w:val="17"/>
                <w:lang w:eastAsia="en-GB"/>
              </w:rPr>
              <w:t xml:space="preserve">): the default risk exposures disclosed should include all exposures that are, or regarded as, default risk exposures to qualifying CCPs or to non-qualifying CCPs in accordance with the requirements set out in Division 4, Part 6A of the BCR. </w:t>
            </w:r>
          </w:p>
          <w:p w:rsidR="002A0515" w:rsidRDefault="002A0515" w:rsidP="00A54BE4">
            <w:pPr>
              <w:pStyle w:val="TableText"/>
              <w:keepNext/>
              <w:jc w:val="both"/>
              <w:rPr>
                <w:rFonts w:cs="Segoe UI"/>
                <w:szCs w:val="17"/>
                <w:lang w:eastAsia="en-GB"/>
              </w:rPr>
            </w:pPr>
            <w:r>
              <w:rPr>
                <w:rFonts w:cs="Segoe UI"/>
                <w:szCs w:val="17"/>
                <w:lang w:eastAsia="en-GB"/>
              </w:rPr>
              <w:t>The values in row 2 should equal the sum of values in rows 3 to 6; the value in row 12 should equal the sum of values in rows 13 to 16.</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3 &amp; 13</w:t>
            </w:r>
          </w:p>
        </w:tc>
        <w:tc>
          <w:tcPr>
            <w:tcW w:w="8363" w:type="dxa"/>
          </w:tcPr>
          <w:p w:rsidR="002A0515" w:rsidRDefault="002A0515" w:rsidP="00A54BE4">
            <w:pPr>
              <w:pStyle w:val="TableText"/>
              <w:keepNext/>
              <w:jc w:val="both"/>
              <w:rPr>
                <w:rFonts w:cs="Segoe UI"/>
                <w:szCs w:val="17"/>
                <w:lang w:eastAsia="en-GB"/>
              </w:rPr>
            </w:pPr>
            <w:r>
              <w:rPr>
                <w:rFonts w:cs="Segoe UI"/>
                <w:i/>
                <w:szCs w:val="17"/>
                <w:lang w:eastAsia="en-GB"/>
              </w:rPr>
              <w:t>(</w:t>
            </w:r>
            <w:proofErr w:type="spellStart"/>
            <w:r>
              <w:rPr>
                <w:rFonts w:cs="Segoe UI"/>
                <w:i/>
                <w:szCs w:val="17"/>
                <w:lang w:eastAsia="en-GB"/>
              </w:rPr>
              <w:t>i</w:t>
            </w:r>
            <w:proofErr w:type="spellEnd"/>
            <w:r>
              <w:rPr>
                <w:rFonts w:cs="Segoe UI"/>
                <w:i/>
                <w:szCs w:val="17"/>
                <w:lang w:eastAsia="en-GB"/>
              </w:rPr>
              <w:t>) OTC derivative transactions</w:t>
            </w:r>
            <w:r>
              <w:rPr>
                <w:rFonts w:cs="Segoe UI"/>
                <w:szCs w:val="17"/>
                <w:lang w:eastAsia="en-GB"/>
              </w:rPr>
              <w:t>: this has the meaning given to it by the BCR.</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4 &amp; 14</w:t>
            </w:r>
          </w:p>
        </w:tc>
        <w:tc>
          <w:tcPr>
            <w:tcW w:w="8363" w:type="dxa"/>
          </w:tcPr>
          <w:p w:rsidR="002A0515" w:rsidRDefault="002A0515" w:rsidP="00A54BE4">
            <w:pPr>
              <w:pStyle w:val="TableText"/>
              <w:keepNext/>
              <w:jc w:val="both"/>
              <w:rPr>
                <w:rFonts w:cs="Segoe UI"/>
                <w:szCs w:val="17"/>
                <w:lang w:eastAsia="en-GB"/>
              </w:rPr>
            </w:pPr>
            <w:r>
              <w:rPr>
                <w:rFonts w:cs="Segoe UI"/>
                <w:i/>
                <w:szCs w:val="17"/>
                <w:lang w:eastAsia="en-GB"/>
              </w:rPr>
              <w:t>(ii) Exchange-traded derivative contracts</w:t>
            </w:r>
            <w:r>
              <w:rPr>
                <w:rFonts w:cs="Segoe UI"/>
                <w:szCs w:val="17"/>
                <w:lang w:eastAsia="en-GB"/>
              </w:rPr>
              <w:t xml:space="preserve">: a derivative contract other than an OTC derivative transaction.  </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5 &amp; 15</w:t>
            </w:r>
          </w:p>
        </w:tc>
        <w:tc>
          <w:tcPr>
            <w:tcW w:w="8363" w:type="dxa"/>
          </w:tcPr>
          <w:p w:rsidR="002A0515" w:rsidRDefault="002A0515" w:rsidP="00A54BE4">
            <w:pPr>
              <w:pStyle w:val="TableText"/>
              <w:keepNext/>
              <w:jc w:val="both"/>
              <w:rPr>
                <w:rFonts w:cs="Segoe UI"/>
                <w:szCs w:val="17"/>
                <w:lang w:eastAsia="en-GB"/>
              </w:rPr>
            </w:pPr>
            <w:r>
              <w:rPr>
                <w:rFonts w:cs="Segoe UI"/>
                <w:i/>
                <w:szCs w:val="17"/>
                <w:lang w:eastAsia="en-GB"/>
              </w:rPr>
              <w:t>(iii) Securities financing transactions</w:t>
            </w:r>
            <w:r>
              <w:rPr>
                <w:rFonts w:cs="Segoe UI"/>
                <w:szCs w:val="17"/>
                <w:lang w:eastAsia="en-GB"/>
              </w:rPr>
              <w:t>: this has the meaning given to it by the BCR.</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6 &amp; 16</w:t>
            </w:r>
          </w:p>
        </w:tc>
        <w:tc>
          <w:tcPr>
            <w:tcW w:w="8363" w:type="dxa"/>
          </w:tcPr>
          <w:p w:rsidR="002A0515" w:rsidRDefault="002A0515" w:rsidP="00A54BE4">
            <w:pPr>
              <w:pStyle w:val="TableText"/>
              <w:keepNext/>
              <w:jc w:val="both"/>
              <w:rPr>
                <w:rFonts w:cs="Segoe UI"/>
                <w:szCs w:val="17"/>
                <w:lang w:eastAsia="en-GB"/>
              </w:rPr>
            </w:pPr>
            <w:r>
              <w:rPr>
                <w:rFonts w:cs="Segoe UI"/>
                <w:i/>
                <w:szCs w:val="17"/>
                <w:lang w:eastAsia="en-GB"/>
              </w:rPr>
              <w:t>(iv) Netting sets subject to valid cross-product netting agreements</w:t>
            </w:r>
            <w:r>
              <w:rPr>
                <w:rFonts w:cs="Segoe UI"/>
                <w:szCs w:val="17"/>
                <w:lang w:eastAsia="en-GB"/>
              </w:rPr>
              <w:t>: netting set as defined by the BCR where the netting could be done according to a valid cross-product netting agreement.</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7 &amp; 17</w:t>
            </w:r>
          </w:p>
        </w:tc>
        <w:tc>
          <w:tcPr>
            <w:tcW w:w="8363" w:type="dxa"/>
          </w:tcPr>
          <w:p w:rsidR="002A0515" w:rsidRDefault="002A0515" w:rsidP="00A54BE4">
            <w:pPr>
              <w:spacing w:before="60" w:after="120"/>
              <w:jc w:val="both"/>
              <w:rPr>
                <w:rFonts w:cs="Segoe UI"/>
                <w:sz w:val="17"/>
                <w:szCs w:val="17"/>
                <w:lang w:eastAsia="en-GB"/>
              </w:rPr>
            </w:pPr>
            <w:r>
              <w:rPr>
                <w:rFonts w:cs="Segoe UI"/>
                <w:i/>
                <w:sz w:val="17"/>
                <w:szCs w:val="17"/>
                <w:lang w:eastAsia="en-GB"/>
              </w:rPr>
              <w:t>Segregated initial margin</w:t>
            </w:r>
            <w:r>
              <w:rPr>
                <w:rFonts w:cs="Segoe UI"/>
                <w:sz w:val="17"/>
                <w:szCs w:val="17"/>
                <w:lang w:eastAsia="en-GB"/>
              </w:rPr>
              <w:t>: the initial margin held in a bankruptcy remote manner.  For the purposes of this template, initial margin does not include contributions to a CCP for mutualised loss-sharing arrangements (i.e. in cases where a CCP uses initial margin to mutualise losses among the clearing members, such margin will be treated as a default fund exposure).</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8 &amp; 18</w:t>
            </w:r>
          </w:p>
        </w:tc>
        <w:tc>
          <w:tcPr>
            <w:tcW w:w="8363" w:type="dxa"/>
          </w:tcPr>
          <w:p w:rsidR="002A0515" w:rsidRDefault="002A0515" w:rsidP="00A54BE4">
            <w:pPr>
              <w:pStyle w:val="TableText"/>
              <w:keepNext/>
              <w:jc w:val="both"/>
              <w:rPr>
                <w:rFonts w:cs="Segoe UI"/>
                <w:szCs w:val="17"/>
                <w:lang w:eastAsia="en-GB"/>
              </w:rPr>
            </w:pPr>
            <w:r>
              <w:rPr>
                <w:rFonts w:cs="Segoe UI"/>
                <w:i/>
                <w:szCs w:val="17"/>
                <w:lang w:eastAsia="en-GB"/>
              </w:rPr>
              <w:t>Unsegregated initial margin</w:t>
            </w:r>
            <w:r>
              <w:rPr>
                <w:rFonts w:cs="Segoe UI"/>
                <w:szCs w:val="17"/>
                <w:lang w:eastAsia="en-GB"/>
              </w:rPr>
              <w:t>: it means the initial margin not held in a bankruptcy remote manner.  Similar to the above, for the purposes of this template, initial margin does not include contributions to a CCP for mutualised loss-sharing arrangements.</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9 &amp; 19</w:t>
            </w:r>
          </w:p>
        </w:tc>
        <w:tc>
          <w:tcPr>
            <w:tcW w:w="8363" w:type="dxa"/>
          </w:tcPr>
          <w:p w:rsidR="002A0515" w:rsidRDefault="002A0515" w:rsidP="00A54BE4">
            <w:pPr>
              <w:pStyle w:val="TableNote"/>
              <w:keepNext/>
              <w:rPr>
                <w:rFonts w:cs="Segoe UI"/>
                <w:sz w:val="17"/>
                <w:szCs w:val="17"/>
                <w:lang w:eastAsia="en-GB"/>
              </w:rPr>
            </w:pPr>
            <w:r>
              <w:rPr>
                <w:rFonts w:cs="Segoe UI"/>
                <w:i/>
                <w:sz w:val="17"/>
                <w:szCs w:val="17"/>
                <w:lang w:eastAsia="en-GB"/>
              </w:rPr>
              <w:t>Funded default fund contributions</w:t>
            </w:r>
            <w:r>
              <w:rPr>
                <w:rFonts w:cs="Segoe UI"/>
                <w:sz w:val="17"/>
                <w:szCs w:val="17"/>
                <w:lang w:eastAsia="en-GB"/>
              </w:rPr>
              <w:t>: the meaning of this term should be in line with that of “default fund contribution” under the BCR and the usage of “funded default fund contribution” in Division 4, Part 6A of the BCR.</w:t>
            </w:r>
          </w:p>
        </w:tc>
      </w:tr>
      <w:tr w:rsidR="002A0515" w:rsidTr="00A54BE4">
        <w:trPr>
          <w:trHeight w:val="373"/>
        </w:trPr>
        <w:tc>
          <w:tcPr>
            <w:tcW w:w="851" w:type="dxa"/>
          </w:tcPr>
          <w:p w:rsidR="002A0515" w:rsidRDefault="002A0515" w:rsidP="00A54BE4">
            <w:pPr>
              <w:keepLines/>
              <w:widowControl w:val="0"/>
              <w:tabs>
                <w:tab w:val="left" w:pos="150"/>
                <w:tab w:val="left" w:pos="397"/>
                <w:tab w:val="left" w:pos="794"/>
                <w:tab w:val="left" w:pos="1191"/>
              </w:tabs>
              <w:spacing w:before="40" w:after="40"/>
              <w:rPr>
                <w:rFonts w:cs="Segoe UI"/>
                <w:sz w:val="17"/>
                <w:szCs w:val="17"/>
                <w:lang w:eastAsia="en-GB"/>
              </w:rPr>
            </w:pPr>
            <w:r>
              <w:rPr>
                <w:rFonts w:cs="Segoe UI"/>
                <w:sz w:val="17"/>
                <w:szCs w:val="17"/>
                <w:lang w:eastAsia="en-GB"/>
              </w:rPr>
              <w:t>10 &amp; 20</w:t>
            </w:r>
          </w:p>
        </w:tc>
        <w:tc>
          <w:tcPr>
            <w:tcW w:w="8363" w:type="dxa"/>
          </w:tcPr>
          <w:p w:rsidR="002A0515" w:rsidRDefault="002A0515" w:rsidP="00A54BE4">
            <w:pPr>
              <w:pStyle w:val="TableNote"/>
              <w:keepNext/>
              <w:rPr>
                <w:rFonts w:cs="Segoe UI"/>
                <w:sz w:val="17"/>
                <w:szCs w:val="17"/>
                <w:lang w:eastAsia="en-GB"/>
              </w:rPr>
            </w:pPr>
            <w:r>
              <w:rPr>
                <w:rFonts w:cs="Segoe UI"/>
                <w:i/>
                <w:sz w:val="17"/>
                <w:szCs w:val="17"/>
                <w:lang w:eastAsia="en-GB"/>
              </w:rPr>
              <w:t>Unfunded default fund contributions</w:t>
            </w:r>
            <w:r>
              <w:rPr>
                <w:rFonts w:cs="Segoe UI"/>
                <w:sz w:val="17"/>
                <w:szCs w:val="17"/>
                <w:lang w:eastAsia="en-GB"/>
              </w:rPr>
              <w:t>: the meaning of this term should be in line with that of “default fund contribution” under the BCR and the usage of “unfunded default fund contribution” in Division 4, Part 6A of the BCR.</w:t>
            </w:r>
          </w:p>
        </w:tc>
      </w:tr>
    </w:tbl>
    <w:p w:rsidR="00A132E4" w:rsidRDefault="00A132E4" w:rsidP="007C29DB">
      <w:pPr>
        <w:rPr>
          <w:sz w:val="22"/>
        </w:rPr>
      </w:pPr>
    </w:p>
    <w:sectPr w:rsidR="00A132E4" w:rsidSect="007C29DB">
      <w:headerReference w:type="default" r:id="rId24"/>
      <w:footerReference w:type="default" r:id="rId25"/>
      <w:pgSz w:w="11906" w:h="16838" w:code="9"/>
      <w:pgMar w:top="1440" w:right="1797" w:bottom="1440" w:left="1797" w:header="851" w:footer="7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E4" w:rsidRDefault="00A54BE4">
      <w:r>
        <w:separator/>
      </w:r>
    </w:p>
  </w:endnote>
  <w:endnote w:type="continuationSeparator" w:id="0">
    <w:p w:rsidR="00A54BE4" w:rsidRDefault="00A5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Footer"/>
      <w:tabs>
        <w:tab w:val="clear" w:pos="4153"/>
        <w:tab w:val="clear" w:pos="8306"/>
        <w:tab w:val="center" w:pos="4156"/>
        <w:tab w:val="center" w:pos="6979"/>
        <w:tab w:val="right" w:pos="8312"/>
      </w:tabs>
      <w:rPr>
        <w:rFonts w:ascii="Arial" w:hAnsi="Arial" w:cs="Arial"/>
      </w:rPr>
    </w:pPr>
    <w:r>
      <w:t>Summary of disclosure templates and tables</w:t>
    </w:r>
    <w:r>
      <w:tab/>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C6DA4">
      <w:rPr>
        <w:rFonts w:ascii="Arial" w:hAnsi="Arial" w:cs="Arial"/>
        <w:noProof/>
      </w:rPr>
      <w:t>8</w:t>
    </w:r>
    <w:r>
      <w:rPr>
        <w:rFonts w:ascii="Arial" w:hAnsi="Arial" w:cs="Arial"/>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Footer"/>
      <w:tabs>
        <w:tab w:val="clear" w:pos="4153"/>
        <w:tab w:val="clear" w:pos="8306"/>
        <w:tab w:val="left" w:pos="1403"/>
        <w:tab w:val="center" w:pos="4156"/>
        <w:tab w:val="right" w:pos="8312"/>
      </w:tabs>
      <w:rPr>
        <w:rFonts w:ascii="Arial" w:hAnsi="Arial" w:cs="Arial"/>
      </w:rPr>
    </w:pPr>
    <w:r>
      <w:t>Part IV – CCR2</w:t>
    </w:r>
    <w:r>
      <w:tab/>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C6DA4">
      <w:rPr>
        <w:rFonts w:ascii="Arial" w:hAnsi="Arial" w:cs="Arial"/>
        <w:noProof/>
      </w:rPr>
      <w:t>34</w:t>
    </w:r>
    <w:r>
      <w:rPr>
        <w:rFonts w:ascii="Arial" w:hAnsi="Arial" w:cs="Arial"/>
        <w:noProof/>
      </w:rPr>
      <w:fldChar w:fldCharType="end"/>
    </w:r>
    <w:r>
      <w:rPr>
        <w:rFonts w:ascii="Arial" w:hAnsi="Arial" w:cs="Arial"/>
        <w:noProof/>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Footer"/>
      <w:tabs>
        <w:tab w:val="clear" w:pos="4153"/>
        <w:tab w:val="clear" w:pos="8306"/>
        <w:tab w:val="left" w:pos="1403"/>
        <w:tab w:val="center" w:pos="4156"/>
        <w:tab w:val="right" w:pos="8312"/>
      </w:tabs>
      <w:rPr>
        <w:rFonts w:ascii="Arial" w:hAnsi="Arial" w:cs="Arial"/>
      </w:rPr>
    </w:pPr>
    <w:r>
      <w:t>Part IV – CCR5</w:t>
    </w:r>
    <w:r>
      <w:tab/>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C6DA4">
      <w:rPr>
        <w:rFonts w:ascii="Arial" w:hAnsi="Arial" w:cs="Arial"/>
        <w:noProof/>
      </w:rPr>
      <w:t>36</w:t>
    </w:r>
    <w:r>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Footer"/>
      <w:tabs>
        <w:tab w:val="clear" w:pos="4153"/>
        <w:tab w:val="clear" w:pos="8306"/>
        <w:tab w:val="left" w:pos="1403"/>
        <w:tab w:val="center" w:pos="4156"/>
        <w:tab w:val="right" w:pos="8312"/>
      </w:tabs>
      <w:rPr>
        <w:rFonts w:ascii="Arial" w:hAnsi="Arial" w:cs="Arial"/>
      </w:rPr>
    </w:pPr>
    <w:r>
      <w:t>Part IV – CCR6</w:t>
    </w:r>
    <w:r>
      <w:tab/>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C6DA4">
      <w:rPr>
        <w:rFonts w:ascii="Arial" w:hAnsi="Arial" w:cs="Arial"/>
        <w:noProof/>
      </w:rPr>
      <w:t>37</w:t>
    </w:r>
    <w:r>
      <w:rPr>
        <w:rFonts w:ascii="Arial" w:hAnsi="Arial" w:cs="Arial"/>
        <w:noProof/>
      </w:rPr>
      <w:fldChar w:fldCharType="end"/>
    </w:r>
    <w:r>
      <w:rPr>
        <w:rFonts w:ascii="Arial" w:hAnsi="Arial" w:cs="Arial"/>
        <w:noProof/>
      </w:rPr>
      <w:tab/>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rsidP="00AC6DA4">
    <w:pPr>
      <w:pStyle w:val="Footer"/>
      <w:tabs>
        <w:tab w:val="left" w:pos="1403"/>
      </w:tabs>
      <w:rPr>
        <w:rFonts w:ascii="Arial" w:hAnsi="Arial" w:cs="Arial"/>
      </w:rPr>
    </w:pPr>
    <w:r>
      <w:t>Part IV – CCR7</w:t>
    </w:r>
    <w:r>
      <w:tab/>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C6DA4">
      <w:rPr>
        <w:rFonts w:ascii="Arial" w:hAnsi="Arial" w:cs="Arial"/>
        <w:noProof/>
      </w:rPr>
      <w:t>39</w:t>
    </w:r>
    <w:r>
      <w:rPr>
        <w:rFonts w:ascii="Arial" w:hAnsi="Arial" w:cs="Arial"/>
        <w:noProof/>
      </w:rPr>
      <w:fldChar w:fldCharType="end"/>
    </w:r>
    <w:r>
      <w:rPr>
        <w:rFonts w:ascii="Arial" w:hAnsi="Arial" w:cs="Arial"/>
        <w:noProof/>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Pr="00F36443" w:rsidRDefault="00804342" w:rsidP="00A54BE4">
    <w:pPr>
      <w:pStyle w:val="Footer"/>
    </w:pPr>
    <w:r>
      <w:t>Part IV – CCR8</w:t>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C6DA4">
      <w:rPr>
        <w:rFonts w:ascii="Arial" w:hAnsi="Arial" w:cs="Arial"/>
        <w:noProof/>
      </w:rPr>
      <w:t>42</w:t>
    </w:r>
    <w:r>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Footer"/>
    </w:pPr>
    <w:r>
      <w:t>Part I – OV1</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AC6DA4">
      <w:rPr>
        <w:rFonts w:ascii="Arial" w:hAnsi="Arial" w:cs="Arial"/>
        <w:noProof/>
      </w:rPr>
      <w:t>14</w:t>
    </w:r>
    <w:r w:rsidRPr="009D2A25">
      <w:rPr>
        <w:rFonts w:ascii="Arial" w:hAnsi="Arial" w:cs="Arial"/>
        <w:noProof/>
      </w:rPr>
      <w:fldChar w:fldCharType="end"/>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Footer"/>
    </w:pPr>
    <w:r>
      <w:t>Part IIC – LR1</w:t>
    </w:r>
    <w:r>
      <w:tab/>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AC6DA4">
      <w:rPr>
        <w:rFonts w:ascii="Arial" w:hAnsi="Arial" w:cs="Arial"/>
        <w:noProof/>
      </w:rPr>
      <w:t>17</w:t>
    </w:r>
    <w:r w:rsidRPr="009D2A25">
      <w:rPr>
        <w:rFonts w:ascii="Arial" w:hAnsi="Arial"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rsidP="00A54BE4">
    <w:pPr>
      <w:pStyle w:val="Footer"/>
    </w:pPr>
    <w:r>
      <w:t>Part IIC – LR2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Pr>
        <w:rFonts w:ascii="Arial" w:hAnsi="Arial" w:cs="Arial"/>
        <w:noProof/>
      </w:rPr>
      <w:t>4</w:t>
    </w:r>
    <w:r w:rsidRPr="009D2A25">
      <w:rPr>
        <w:rFonts w:ascii="Arial" w:hAnsi="Arial" w:cs="Arial"/>
        <w:noProof/>
      </w:rPr>
      <w:fldChar w:fldCharType="end"/>
    </w:r>
    <w:r>
      <w:ptab w:relativeTo="margin" w:alignment="right" w:leader="none"/>
    </w:r>
  </w:p>
  <w:p w:rsidR="00A54BE4" w:rsidRDefault="00A54B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rsidP="00A54BE4">
    <w:pPr>
      <w:pStyle w:val="Footer"/>
    </w:pPr>
    <w:r>
      <w:t>Part IIC – LR2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AC6DA4">
      <w:rPr>
        <w:rFonts w:ascii="Arial" w:hAnsi="Arial" w:cs="Arial"/>
        <w:noProof/>
      </w:rPr>
      <w:t>18</w:t>
    </w:r>
    <w:r w:rsidRPr="009D2A25">
      <w:rPr>
        <w:rFonts w:ascii="Arial" w:hAnsi="Arial" w:cs="Arial"/>
        <w:noProof/>
      </w:rPr>
      <w:fldChar w:fldCharType="end"/>
    </w:r>
    <w:r>
      <w:ptab w:relativeTo="margin" w:alignment="right" w:leader="none"/>
    </w:r>
  </w:p>
  <w:p w:rsidR="00A54BE4" w:rsidRDefault="00A54B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Footer"/>
    </w:pPr>
    <w:r>
      <w:t>Part IIC – LR2</w:t>
    </w:r>
    <w:r>
      <w:ptab w:relativeTo="margin" w:alignment="center" w:leader="none"/>
    </w:r>
    <w:r w:rsidRPr="009D2A25">
      <w:rPr>
        <w:rFonts w:ascii="Arial" w:hAnsi="Arial" w:cs="Arial"/>
      </w:rPr>
      <w:fldChar w:fldCharType="begin"/>
    </w:r>
    <w:r w:rsidRPr="009D2A25">
      <w:rPr>
        <w:rFonts w:ascii="Arial" w:hAnsi="Arial" w:cs="Arial"/>
      </w:rPr>
      <w:instrText xml:space="preserve"> PAGE   \* MERGEFORMAT </w:instrText>
    </w:r>
    <w:r w:rsidRPr="009D2A25">
      <w:rPr>
        <w:rFonts w:ascii="Arial" w:hAnsi="Arial" w:cs="Arial"/>
      </w:rPr>
      <w:fldChar w:fldCharType="separate"/>
    </w:r>
    <w:r w:rsidR="00AC6DA4">
      <w:rPr>
        <w:rFonts w:ascii="Arial" w:hAnsi="Arial" w:cs="Arial"/>
        <w:noProof/>
      </w:rPr>
      <w:t>22</w:t>
    </w:r>
    <w:r w:rsidRPr="009D2A25">
      <w:rPr>
        <w:rFonts w:ascii="Arial" w:hAnsi="Arial" w:cs="Arial"/>
        <w:noProof/>
      </w:rPr>
      <w:fldChar w:fldCharType="end"/>
    </w:r>
    <w: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Pr="000C01F2" w:rsidRDefault="00A54BE4" w:rsidP="00A54BE4">
    <w:pPr>
      <w:pStyle w:val="Footer"/>
      <w:rPr>
        <w:caps/>
        <w:noProof/>
      </w:rPr>
    </w:pPr>
    <w:r w:rsidRPr="000C01F2">
      <w:t>P</w:t>
    </w:r>
    <w:r>
      <w:t>art IID – LIQ2</w:t>
    </w:r>
    <w:r>
      <w:tab/>
    </w:r>
    <w:r w:rsidRPr="000C01F2">
      <w:rPr>
        <w:caps/>
      </w:rPr>
      <w:fldChar w:fldCharType="begin"/>
    </w:r>
    <w:r w:rsidRPr="000C01F2">
      <w:rPr>
        <w:caps/>
      </w:rPr>
      <w:instrText xml:space="preserve"> PAGE   \* MERGEFORMAT </w:instrText>
    </w:r>
    <w:r w:rsidRPr="000C01F2">
      <w:rPr>
        <w:caps/>
      </w:rPr>
      <w:fldChar w:fldCharType="separate"/>
    </w:r>
    <w:r w:rsidR="00AC6DA4">
      <w:rPr>
        <w:caps/>
        <w:noProof/>
      </w:rPr>
      <w:t>26</w:t>
    </w:r>
    <w:r w:rsidRPr="000C01F2">
      <w:rPr>
        <w:caps/>
        <w:noProof/>
      </w:rPr>
      <w:fldChar w:fldCharType="end"/>
    </w:r>
  </w:p>
  <w:p w:rsidR="00A54BE4" w:rsidRDefault="00A54BE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rsidP="00A54BE4">
    <w:pPr>
      <w:pStyle w:val="Footer"/>
      <w:tabs>
        <w:tab w:val="clear" w:pos="4153"/>
        <w:tab w:val="clear" w:pos="8306"/>
        <w:tab w:val="left" w:pos="1403"/>
        <w:tab w:val="center" w:pos="4156"/>
        <w:tab w:val="right" w:pos="8312"/>
      </w:tabs>
      <w:rPr>
        <w:rFonts w:ascii="Arial" w:hAnsi="Arial" w:cs="Arial"/>
      </w:rPr>
    </w:pPr>
    <w:r>
      <w:t>Part IV –CCR1</w:t>
    </w:r>
    <w:r>
      <w:tab/>
    </w:r>
    <w: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C6DA4">
      <w:rPr>
        <w:rFonts w:ascii="Arial" w:hAnsi="Arial" w:cs="Arial"/>
        <w:noProof/>
      </w:rPr>
      <w:t>32</w:t>
    </w:r>
    <w:r>
      <w:rPr>
        <w:rFonts w:ascii="Arial" w:hAnsi="Arial" w:cs="Arial"/>
        <w:noProof/>
      </w:rPr>
      <w:fldChar w:fldCharType="end"/>
    </w:r>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E4" w:rsidRDefault="00A54BE4">
      <w:r>
        <w:separator/>
      </w:r>
    </w:p>
  </w:footnote>
  <w:footnote w:type="continuationSeparator" w:id="0">
    <w:p w:rsidR="00A54BE4" w:rsidRDefault="00A54BE4">
      <w:r>
        <w:continuationSeparator/>
      </w:r>
    </w:p>
  </w:footnote>
  <w:footnote w:id="1">
    <w:p w:rsidR="00A54BE4" w:rsidRPr="000301D4" w:rsidRDefault="00A54BE4" w:rsidP="000301D4">
      <w:pPr>
        <w:tabs>
          <w:tab w:val="left" w:pos="142"/>
        </w:tabs>
        <w:ind w:left="142" w:hangingChars="71" w:hanging="142"/>
        <w:jc w:val="both"/>
        <w:rPr>
          <w:rFonts w:cs="Segoe UI"/>
        </w:rPr>
      </w:pPr>
      <w:r>
        <w:rPr>
          <w:rStyle w:val="FootnoteReference"/>
        </w:rPr>
        <w:footnoteRef/>
      </w:r>
      <w:r>
        <w:t xml:space="preserve"> </w:t>
      </w:r>
      <w:r>
        <w:rPr>
          <w:rFonts w:cs="Segoe UI"/>
        </w:rPr>
        <w:t>This summary of disclosure templates and tables should be read in conjunction with that published alongside the Phase I and Phase II templates and tables on 21 March 2019. (</w:t>
      </w:r>
      <w:hyperlink r:id="rId1" w:history="1">
        <w:r w:rsidRPr="00DD009D">
          <w:rPr>
            <w:rStyle w:val="Hyperlink"/>
            <w:rFonts w:cs="Segoe UI"/>
          </w:rPr>
          <w:t>https://www.hkma.gov.hk/media/eng/doc/key-information/guidelines-and-circular/2019/20190321e1.pdf</w:t>
        </w:r>
      </w:hyperlink>
      <w:r>
        <w:rPr>
          <w:rFonts w:cs="Segoe UI"/>
        </w:rPr>
        <w:t>)</w:t>
      </w:r>
    </w:p>
  </w:footnote>
  <w:footnote w:id="2">
    <w:p w:rsidR="00A54BE4" w:rsidRDefault="00A54BE4" w:rsidP="00A4439D">
      <w:pPr>
        <w:jc w:val="both"/>
        <w:rPr>
          <w:rFonts w:eastAsiaTheme="minorEastAsia" w:cs="Segoe UI"/>
          <w:lang w:eastAsia="zh-TW"/>
        </w:rPr>
      </w:pPr>
      <w:r>
        <w:rPr>
          <w:rStyle w:val="FootnoteReference"/>
        </w:rPr>
        <w:footnoteRef/>
      </w:r>
      <w:r>
        <w:t xml:space="preserve"> </w:t>
      </w:r>
      <w:r>
        <w:rPr>
          <w:rFonts w:cs="Segoe UI"/>
        </w:rPr>
        <w:t>‘L’ denotes a disclosure template/table applicable to locally incorporated AIs; ‘O’ denotes a disclosure template/table applicable to overseas incorporated AIs.</w:t>
      </w:r>
    </w:p>
    <w:p w:rsidR="00A54BE4" w:rsidRDefault="00A54BE4">
      <w:pPr>
        <w:pStyle w:val="FootnoteText"/>
      </w:pPr>
    </w:p>
  </w:footnote>
  <w:footnote w:id="3">
    <w:p w:rsidR="00A54BE4" w:rsidRPr="00DF2BE8" w:rsidRDefault="00A54BE4" w:rsidP="00613FAA">
      <w:pPr>
        <w:pStyle w:val="FootnoteText"/>
        <w:widowControl w:val="0"/>
        <w:tabs>
          <w:tab w:val="clear" w:pos="397"/>
        </w:tabs>
        <w:snapToGrid w:val="0"/>
        <w:spacing w:before="0" w:after="120"/>
        <w:ind w:left="0" w:firstLine="0"/>
        <w:rPr>
          <w:rStyle w:val="FootnoteReference"/>
          <w:rFonts w:cs="Segoe UI"/>
          <w:szCs w:val="16"/>
          <w:vertAlign w:val="baseline"/>
          <w:lang w:val="en-US" w:eastAsia="zh-TW"/>
        </w:rPr>
      </w:pPr>
      <w:r w:rsidRPr="00613FAA">
        <w:rPr>
          <w:rStyle w:val="FootnoteReference"/>
          <w:rFonts w:asciiTheme="minorHAnsi" w:hAnsiTheme="minorHAnsi" w:cstheme="minorHAnsi"/>
          <w:sz w:val="17"/>
          <w:szCs w:val="17"/>
          <w:lang w:val="en-US" w:eastAsia="zh-TW"/>
        </w:rPr>
        <w:footnoteRef/>
      </w:r>
      <w:r w:rsidRPr="00613FAA">
        <w:rPr>
          <w:rStyle w:val="FootnoteReference"/>
          <w:rFonts w:asciiTheme="minorHAnsi" w:hAnsiTheme="minorHAnsi" w:cstheme="minorHAnsi"/>
          <w:sz w:val="17"/>
          <w:szCs w:val="17"/>
          <w:lang w:val="en-US" w:eastAsia="zh-TW"/>
        </w:rPr>
        <w:t xml:space="preserve"> </w:t>
      </w:r>
      <w:r w:rsidRPr="00DF2BE8">
        <w:rPr>
          <w:rStyle w:val="FootnoteReference"/>
          <w:rFonts w:cs="Segoe UI"/>
          <w:szCs w:val="16"/>
          <w:vertAlign w:val="baseline"/>
          <w:lang w:val="en-US" w:eastAsia="zh-TW"/>
        </w:rPr>
        <w:t>For “SFTs” reported in columns (e) and (f), the collateral used is defined as referring to both legs of the transaction.  For example, an AI transfers securities to a third party, which in turn posts collateral to the AI.  The AI should report both legs of the transaction in the template; on one hand the collateral received is reported in column (e), on the other hand the collateral posted by the AI is reported in column (f).</w:t>
      </w:r>
    </w:p>
  </w:footnote>
  <w:footnote w:id="4">
    <w:p w:rsidR="00A54BE4" w:rsidRPr="00DF2BE8" w:rsidRDefault="00A54BE4" w:rsidP="00613FAA">
      <w:pPr>
        <w:pStyle w:val="FootnoteText"/>
        <w:widowControl w:val="0"/>
        <w:tabs>
          <w:tab w:val="clear" w:pos="397"/>
        </w:tabs>
        <w:snapToGrid w:val="0"/>
        <w:spacing w:before="0"/>
        <w:ind w:left="0" w:firstLine="0"/>
        <w:rPr>
          <w:rStyle w:val="FootnoteReference"/>
          <w:rFonts w:cs="Segoe UI"/>
          <w:szCs w:val="16"/>
          <w:lang w:val="en-US" w:eastAsia="zh-TW"/>
        </w:rPr>
      </w:pPr>
      <w:r w:rsidRPr="00DF2BE8">
        <w:rPr>
          <w:rStyle w:val="FootnoteReference"/>
          <w:rFonts w:eastAsiaTheme="minorEastAsia" w:cs="Segoe UI"/>
          <w:kern w:val="2"/>
          <w:szCs w:val="16"/>
          <w:lang w:val="en-US" w:eastAsia="zh-TW"/>
        </w:rPr>
        <w:footnoteRef/>
      </w:r>
      <w:r w:rsidRPr="00DF2BE8">
        <w:rPr>
          <w:rStyle w:val="FootnoteReference"/>
          <w:rFonts w:eastAsiaTheme="minorEastAsia" w:cs="Segoe UI"/>
          <w:kern w:val="2"/>
          <w:szCs w:val="16"/>
          <w:lang w:val="en-US" w:eastAsia="zh-TW"/>
        </w:rPr>
        <w:t xml:space="preserve"> </w:t>
      </w:r>
      <w:r w:rsidRPr="00DF2BE8">
        <w:rPr>
          <w:rStyle w:val="FootnoteReference"/>
          <w:rFonts w:cs="Segoe UI"/>
          <w:szCs w:val="16"/>
          <w:vertAlign w:val="baseline"/>
          <w:lang w:val="en-US" w:eastAsia="zh-TW"/>
        </w:rPr>
        <w:t>“Domestic currency” refers to the AI’s reporting currency (not the currency / currencies in which the derivative contract or SFT is denominated).</w:t>
      </w:r>
      <w:r w:rsidRPr="00DF2BE8">
        <w:rPr>
          <w:rStyle w:val="FootnoteReference"/>
          <w:rFonts w:cs="Segoe UI"/>
          <w:szCs w:val="16"/>
          <w:lang w:val="en-US" w:eastAsia="zh-TW"/>
        </w:rPr>
        <w:t xml:space="preserve"> </w:t>
      </w:r>
    </w:p>
  </w:footnote>
  <w:footnote w:id="5">
    <w:p w:rsidR="00A54BE4" w:rsidRPr="00804342" w:rsidRDefault="00A54BE4" w:rsidP="00804342">
      <w:pPr>
        <w:pStyle w:val="FootnoteText"/>
        <w:widowControl w:val="0"/>
        <w:tabs>
          <w:tab w:val="clear" w:pos="397"/>
        </w:tabs>
        <w:snapToGrid w:val="0"/>
        <w:spacing w:before="0"/>
        <w:ind w:left="0" w:firstLine="0"/>
        <w:rPr>
          <w:rStyle w:val="FootnoteReference"/>
          <w:rFonts w:asciiTheme="minorHAnsi" w:eastAsiaTheme="minorEastAsia" w:hAnsiTheme="minorHAnsi" w:cstheme="minorHAnsi"/>
          <w:kern w:val="2"/>
          <w:vertAlign w:val="baseline"/>
          <w:lang w:val="en-US" w:eastAsia="zh-TW"/>
        </w:rPr>
      </w:pPr>
      <w:r w:rsidRPr="00DF2BE8">
        <w:rPr>
          <w:rStyle w:val="FootnoteReference"/>
          <w:rFonts w:eastAsiaTheme="minorEastAsia" w:cs="Segoe UI"/>
          <w:kern w:val="2"/>
          <w:szCs w:val="16"/>
          <w:lang w:val="en-US" w:eastAsia="zh-TW"/>
        </w:rPr>
        <w:footnoteRef/>
      </w:r>
      <w:r w:rsidRPr="00DF2BE8">
        <w:rPr>
          <w:rStyle w:val="FootnoteReference"/>
          <w:rFonts w:eastAsiaTheme="minorEastAsia" w:cs="Segoe UI"/>
          <w:kern w:val="2"/>
          <w:szCs w:val="16"/>
          <w:lang w:val="en-US" w:eastAsia="zh-TW"/>
        </w:rPr>
        <w:t xml:space="preserve"> </w:t>
      </w:r>
      <w:r w:rsidRPr="00DF2BE8">
        <w:rPr>
          <w:rStyle w:val="FootnoteReference"/>
          <w:rFonts w:eastAsiaTheme="minorEastAsia" w:cs="Segoe UI"/>
          <w:kern w:val="2"/>
          <w:szCs w:val="16"/>
          <w:vertAlign w:val="baseline"/>
          <w:lang w:val="en-US" w:eastAsia="zh-TW"/>
        </w:rPr>
        <w:t>“Clearing client” here may mean a direct client, or an indirect client within a multi-level client structure, as applicable.  These terms have the meaning given by the BCR.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Default="00A54B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E4" w:rsidRPr="00F36443" w:rsidRDefault="00A54BE4" w:rsidP="00A54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C5D"/>
    <w:multiLevelType w:val="hybridMultilevel"/>
    <w:tmpl w:val="33629920"/>
    <w:lvl w:ilvl="0" w:tplc="D28022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F7C92"/>
    <w:multiLevelType w:val="hybridMultilevel"/>
    <w:tmpl w:val="D6843CE8"/>
    <w:lvl w:ilvl="0" w:tplc="22F09EBA">
      <w:start w:val="1"/>
      <w:numFmt w:val="lowerLetter"/>
      <w:lvlText w:val="(%1)"/>
      <w:lvlJc w:val="left"/>
      <w:pPr>
        <w:ind w:left="916" w:hanging="480"/>
      </w:pPr>
      <w:rPr>
        <w:rFonts w:hint="default"/>
      </w:rPr>
    </w:lvl>
    <w:lvl w:ilvl="1" w:tplc="08090001">
      <w:start w:val="1"/>
      <w:numFmt w:val="bullet"/>
      <w:lvlText w:val=""/>
      <w:lvlJc w:val="left"/>
      <w:pPr>
        <w:ind w:left="1396" w:hanging="480"/>
      </w:pPr>
      <w:rPr>
        <w:rFonts w:ascii="Symbol" w:hAnsi="Symbol" w:hint="default"/>
      </w:r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2" w15:restartNumberingAfterBreak="0">
    <w:nsid w:val="03395A98"/>
    <w:multiLevelType w:val="hybridMultilevel"/>
    <w:tmpl w:val="46E06164"/>
    <w:lvl w:ilvl="0" w:tplc="6706C99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6412D"/>
    <w:multiLevelType w:val="hybridMultilevel"/>
    <w:tmpl w:val="91F85D8A"/>
    <w:lvl w:ilvl="0" w:tplc="A51C8C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4F13A5"/>
    <w:multiLevelType w:val="hybridMultilevel"/>
    <w:tmpl w:val="A888FAE6"/>
    <w:lvl w:ilvl="0" w:tplc="4B8E1EC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B7175A"/>
    <w:multiLevelType w:val="hybridMultilevel"/>
    <w:tmpl w:val="F36642CE"/>
    <w:lvl w:ilvl="0" w:tplc="E18065E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540CE4"/>
    <w:multiLevelType w:val="hybridMultilevel"/>
    <w:tmpl w:val="89C823F2"/>
    <w:lvl w:ilvl="0" w:tplc="9886C12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4E7A49"/>
    <w:multiLevelType w:val="hybridMultilevel"/>
    <w:tmpl w:val="4544B568"/>
    <w:lvl w:ilvl="0" w:tplc="BCBE667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7D7DB2"/>
    <w:multiLevelType w:val="hybridMultilevel"/>
    <w:tmpl w:val="E32EE3AE"/>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C775081"/>
    <w:multiLevelType w:val="hybridMultilevel"/>
    <w:tmpl w:val="4A609880"/>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79701C"/>
    <w:multiLevelType w:val="hybridMultilevel"/>
    <w:tmpl w:val="2574370E"/>
    <w:lvl w:ilvl="0" w:tplc="E7C6201C">
      <w:start w:val="1"/>
      <w:numFmt w:val="lowerRoman"/>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1" w15:restartNumberingAfterBreak="0">
    <w:nsid w:val="0F002F88"/>
    <w:multiLevelType w:val="hybridMultilevel"/>
    <w:tmpl w:val="35E29C5A"/>
    <w:lvl w:ilvl="0" w:tplc="C9766C4E">
      <w:start w:val="1"/>
      <w:numFmt w:val="lowerRoman"/>
      <w:lvlText w:val="(%1)"/>
      <w:lvlJc w:val="left"/>
      <w:pPr>
        <w:ind w:left="-206" w:hanging="360"/>
      </w:pPr>
      <w:rPr>
        <w:rFonts w:hint="eastAsia"/>
        <w:i/>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2" w15:restartNumberingAfterBreak="0">
    <w:nsid w:val="1031647E"/>
    <w:multiLevelType w:val="hybridMultilevel"/>
    <w:tmpl w:val="02EA3CCE"/>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0EF4487"/>
    <w:multiLevelType w:val="hybridMultilevel"/>
    <w:tmpl w:val="6944E1A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7C7020"/>
    <w:multiLevelType w:val="hybridMultilevel"/>
    <w:tmpl w:val="06507728"/>
    <w:lvl w:ilvl="0" w:tplc="C0BCA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0A61B5"/>
    <w:multiLevelType w:val="hybridMultilevel"/>
    <w:tmpl w:val="4B60104C"/>
    <w:lvl w:ilvl="0" w:tplc="5DDC3E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DB2C26"/>
    <w:multiLevelType w:val="hybridMultilevel"/>
    <w:tmpl w:val="34BA2B44"/>
    <w:lvl w:ilvl="0" w:tplc="C90427C8">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7B12473"/>
    <w:multiLevelType w:val="hybridMultilevel"/>
    <w:tmpl w:val="EB84AA14"/>
    <w:lvl w:ilvl="0" w:tplc="06F671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8CD2F08"/>
    <w:multiLevelType w:val="hybridMultilevel"/>
    <w:tmpl w:val="94ECD124"/>
    <w:lvl w:ilvl="0" w:tplc="3682660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257CCA"/>
    <w:multiLevelType w:val="hybridMultilevel"/>
    <w:tmpl w:val="32D44C62"/>
    <w:lvl w:ilvl="0" w:tplc="0966F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1D7075F1"/>
    <w:multiLevelType w:val="hybridMultilevel"/>
    <w:tmpl w:val="19B235CA"/>
    <w:lvl w:ilvl="0" w:tplc="D0CA92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DF872F6"/>
    <w:multiLevelType w:val="hybridMultilevel"/>
    <w:tmpl w:val="DCA2C10C"/>
    <w:lvl w:ilvl="0" w:tplc="5CE2D70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E763D01"/>
    <w:multiLevelType w:val="hybridMultilevel"/>
    <w:tmpl w:val="5F861582"/>
    <w:lvl w:ilvl="0" w:tplc="B7A60CB8">
      <w:start w:val="1"/>
      <w:numFmt w:val="bullet"/>
      <w:lvlText w:val=""/>
      <w:lvlJc w:val="left"/>
      <w:pPr>
        <w:ind w:left="360" w:hanging="360"/>
      </w:pPr>
      <w:rPr>
        <w:rFonts w:ascii="Wingdings" w:eastAsia="Times New Roman" w:hAnsi="Wingdings" w:cs="Times New Roman"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1ED03739"/>
    <w:multiLevelType w:val="hybridMultilevel"/>
    <w:tmpl w:val="EB108256"/>
    <w:lvl w:ilvl="0" w:tplc="55F02D6C">
      <w:start w:val="1"/>
      <w:numFmt w:val="lowerRoman"/>
      <w:lvlText w:val="(%1)"/>
      <w:lvlJc w:val="left"/>
      <w:pPr>
        <w:ind w:left="720" w:hanging="720"/>
      </w:pPr>
      <w:rPr>
        <w:rFonts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EFF62DC"/>
    <w:multiLevelType w:val="hybridMultilevel"/>
    <w:tmpl w:val="D90E91C0"/>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209939AE"/>
    <w:multiLevelType w:val="hybridMultilevel"/>
    <w:tmpl w:val="EF285A80"/>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3411E5F"/>
    <w:multiLevelType w:val="hybridMultilevel"/>
    <w:tmpl w:val="2574370E"/>
    <w:lvl w:ilvl="0" w:tplc="E7C6201C">
      <w:start w:val="1"/>
      <w:numFmt w:val="lowerRoman"/>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7" w15:restartNumberingAfterBreak="0">
    <w:nsid w:val="2381567F"/>
    <w:multiLevelType w:val="hybridMultilevel"/>
    <w:tmpl w:val="B00C68AC"/>
    <w:lvl w:ilvl="0" w:tplc="D8A4CEBC">
      <w:start w:val="1"/>
      <w:numFmt w:val="lowerLetter"/>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8" w15:restartNumberingAfterBreak="0">
    <w:nsid w:val="23E77DCC"/>
    <w:multiLevelType w:val="hybridMultilevel"/>
    <w:tmpl w:val="926E3262"/>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4447E4D"/>
    <w:multiLevelType w:val="hybridMultilevel"/>
    <w:tmpl w:val="85BAC182"/>
    <w:lvl w:ilvl="0" w:tplc="336AD26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4661859"/>
    <w:multiLevelType w:val="hybridMultilevel"/>
    <w:tmpl w:val="915E4DB4"/>
    <w:lvl w:ilvl="0" w:tplc="40DEF5FE">
      <w:start w:val="1"/>
      <w:numFmt w:val="bullet"/>
      <w:lvlText w:val=""/>
      <w:lvlJc w:val="left"/>
      <w:pPr>
        <w:ind w:left="360" w:hanging="360"/>
      </w:pPr>
      <w:rPr>
        <w:rFonts w:ascii="Wingdings" w:eastAsia="Times New Roman" w:hAnsi="Wingdings" w:cs="Times New Roman"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24E04C4A"/>
    <w:multiLevelType w:val="hybridMultilevel"/>
    <w:tmpl w:val="C07C0000"/>
    <w:lvl w:ilvl="0" w:tplc="962EF6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5154C1A"/>
    <w:multiLevelType w:val="hybridMultilevel"/>
    <w:tmpl w:val="2574370E"/>
    <w:lvl w:ilvl="0" w:tplc="E7C6201C">
      <w:start w:val="1"/>
      <w:numFmt w:val="lowerRoman"/>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3" w15:restartNumberingAfterBreak="0">
    <w:nsid w:val="26665250"/>
    <w:multiLevelType w:val="hybridMultilevel"/>
    <w:tmpl w:val="2E9ED40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8A3414F"/>
    <w:multiLevelType w:val="hybridMultilevel"/>
    <w:tmpl w:val="627210EA"/>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B2C62EA"/>
    <w:multiLevelType w:val="hybridMultilevel"/>
    <w:tmpl w:val="F5A07B26"/>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1BD5EEA"/>
    <w:multiLevelType w:val="hybridMultilevel"/>
    <w:tmpl w:val="0E3C8944"/>
    <w:lvl w:ilvl="0" w:tplc="71AA265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1CE75C3"/>
    <w:multiLevelType w:val="hybridMultilevel"/>
    <w:tmpl w:val="0996435E"/>
    <w:lvl w:ilvl="0" w:tplc="0966F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31F131A5"/>
    <w:multiLevelType w:val="hybridMultilevel"/>
    <w:tmpl w:val="E27A1512"/>
    <w:lvl w:ilvl="0" w:tplc="9E9A14C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3186387"/>
    <w:multiLevelType w:val="hybridMultilevel"/>
    <w:tmpl w:val="C5EECB72"/>
    <w:lvl w:ilvl="0" w:tplc="CFFEFE78">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33D82505"/>
    <w:multiLevelType w:val="hybridMultilevel"/>
    <w:tmpl w:val="73B08AF4"/>
    <w:lvl w:ilvl="0" w:tplc="9EBAF35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50C55C9"/>
    <w:multiLevelType w:val="hybridMultilevel"/>
    <w:tmpl w:val="91B0ADCE"/>
    <w:lvl w:ilvl="0" w:tplc="0966F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353D287E"/>
    <w:multiLevelType w:val="hybridMultilevel"/>
    <w:tmpl w:val="BD4EE1C4"/>
    <w:lvl w:ilvl="0" w:tplc="68922D5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58C71D8"/>
    <w:multiLevelType w:val="hybridMultilevel"/>
    <w:tmpl w:val="0D328D58"/>
    <w:lvl w:ilvl="0" w:tplc="0966F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37EB7B5F"/>
    <w:multiLevelType w:val="hybridMultilevel"/>
    <w:tmpl w:val="B4325370"/>
    <w:lvl w:ilvl="0" w:tplc="FF3648F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92E690E"/>
    <w:multiLevelType w:val="hybridMultilevel"/>
    <w:tmpl w:val="34BA2B44"/>
    <w:lvl w:ilvl="0" w:tplc="C90427C8">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A2F6DE0"/>
    <w:multiLevelType w:val="hybridMultilevel"/>
    <w:tmpl w:val="604CA0DC"/>
    <w:lvl w:ilvl="0" w:tplc="1774294A">
      <w:start w:val="1"/>
      <w:numFmt w:val="upperLetter"/>
      <w:lvlText w:val="%1."/>
      <w:lvlJc w:val="left"/>
      <w:pPr>
        <w:ind w:left="417" w:hanging="360"/>
      </w:pPr>
      <w:rPr>
        <w:rFonts w:hint="eastAsia"/>
        <w:sz w:val="17"/>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7" w15:restartNumberingAfterBreak="0">
    <w:nsid w:val="3AAA5A30"/>
    <w:multiLevelType w:val="hybridMultilevel"/>
    <w:tmpl w:val="37923116"/>
    <w:lvl w:ilvl="0" w:tplc="C90427C8">
      <w:start w:val="1"/>
      <w:numFmt w:val="decimal"/>
      <w:lvlText w:val="%1"/>
      <w:lvlJc w:val="left"/>
      <w:pPr>
        <w:ind w:left="510" w:hanging="360"/>
      </w:pPr>
      <w:rPr>
        <w:rFonts w:hint="eastAsia"/>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8" w15:restartNumberingAfterBreak="0">
    <w:nsid w:val="3B7F4895"/>
    <w:multiLevelType w:val="hybridMultilevel"/>
    <w:tmpl w:val="FDCC180E"/>
    <w:lvl w:ilvl="0" w:tplc="0A5A6F7A">
      <w:start w:val="1"/>
      <w:numFmt w:val="upperRoman"/>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9" w15:restartNumberingAfterBreak="0">
    <w:nsid w:val="3CA67095"/>
    <w:multiLevelType w:val="hybridMultilevel"/>
    <w:tmpl w:val="A48CF78C"/>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2992195"/>
    <w:multiLevelType w:val="hybridMultilevel"/>
    <w:tmpl w:val="B14EA0EC"/>
    <w:lvl w:ilvl="0" w:tplc="DD56F0BA">
      <w:start w:val="1"/>
      <w:numFmt w:val="lowerRoman"/>
      <w:lvlText w:val="(%1)"/>
      <w:lvlJc w:val="left"/>
      <w:pPr>
        <w:ind w:left="724" w:hanging="720"/>
      </w:pPr>
      <w:rPr>
        <w:rFonts w:eastAsia="新細明體" w:cs="Segoe UI" w:hint="default"/>
        <w:color w:val="000000"/>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51" w15:restartNumberingAfterBreak="0">
    <w:nsid w:val="42EF0385"/>
    <w:multiLevelType w:val="hybridMultilevel"/>
    <w:tmpl w:val="38269250"/>
    <w:lvl w:ilvl="0" w:tplc="CF7A17C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49D6B56"/>
    <w:multiLevelType w:val="hybridMultilevel"/>
    <w:tmpl w:val="E5EADA42"/>
    <w:lvl w:ilvl="0" w:tplc="C158FDD2">
      <w:start w:val="1"/>
      <w:numFmt w:val="lowerRoman"/>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45906095"/>
    <w:multiLevelType w:val="hybridMultilevel"/>
    <w:tmpl w:val="0C98875A"/>
    <w:lvl w:ilvl="0" w:tplc="4F18B7A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77C2E4E"/>
    <w:multiLevelType w:val="hybridMultilevel"/>
    <w:tmpl w:val="5FAEE9DE"/>
    <w:lvl w:ilvl="0" w:tplc="107A6F0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9767335"/>
    <w:multiLevelType w:val="hybridMultilevel"/>
    <w:tmpl w:val="B866CEBA"/>
    <w:lvl w:ilvl="0" w:tplc="592E8B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CEC5137"/>
    <w:multiLevelType w:val="hybridMultilevel"/>
    <w:tmpl w:val="04FE06B4"/>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F22111D"/>
    <w:multiLevelType w:val="hybridMultilevel"/>
    <w:tmpl w:val="779403EC"/>
    <w:lvl w:ilvl="0" w:tplc="44083D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05A4E6D"/>
    <w:multiLevelType w:val="hybridMultilevel"/>
    <w:tmpl w:val="01D2499A"/>
    <w:lvl w:ilvl="0" w:tplc="0966F6B2">
      <w:start w:val="1"/>
      <w:numFmt w:val="bullet"/>
      <w:lvlText w:val=""/>
      <w:lvlJc w:val="left"/>
      <w:pPr>
        <w:ind w:left="572" w:hanging="480"/>
      </w:pPr>
      <w:rPr>
        <w:rFonts w:ascii="Wingdings" w:hAnsi="Wingdings" w:hint="default"/>
      </w:rPr>
    </w:lvl>
    <w:lvl w:ilvl="1" w:tplc="04090003" w:tentative="1">
      <w:start w:val="1"/>
      <w:numFmt w:val="bullet"/>
      <w:lvlText w:val=""/>
      <w:lvlJc w:val="left"/>
      <w:pPr>
        <w:ind w:left="1052" w:hanging="480"/>
      </w:pPr>
      <w:rPr>
        <w:rFonts w:ascii="Wingdings" w:hAnsi="Wingdings" w:hint="default"/>
      </w:rPr>
    </w:lvl>
    <w:lvl w:ilvl="2" w:tplc="04090005" w:tentative="1">
      <w:start w:val="1"/>
      <w:numFmt w:val="bullet"/>
      <w:lvlText w:val=""/>
      <w:lvlJc w:val="left"/>
      <w:pPr>
        <w:ind w:left="1532" w:hanging="480"/>
      </w:pPr>
      <w:rPr>
        <w:rFonts w:ascii="Wingdings" w:hAnsi="Wingdings" w:hint="default"/>
      </w:rPr>
    </w:lvl>
    <w:lvl w:ilvl="3" w:tplc="04090001" w:tentative="1">
      <w:start w:val="1"/>
      <w:numFmt w:val="bullet"/>
      <w:lvlText w:val=""/>
      <w:lvlJc w:val="left"/>
      <w:pPr>
        <w:ind w:left="2012" w:hanging="480"/>
      </w:pPr>
      <w:rPr>
        <w:rFonts w:ascii="Wingdings" w:hAnsi="Wingdings" w:hint="default"/>
      </w:rPr>
    </w:lvl>
    <w:lvl w:ilvl="4" w:tplc="04090003" w:tentative="1">
      <w:start w:val="1"/>
      <w:numFmt w:val="bullet"/>
      <w:lvlText w:val=""/>
      <w:lvlJc w:val="left"/>
      <w:pPr>
        <w:ind w:left="2492" w:hanging="480"/>
      </w:pPr>
      <w:rPr>
        <w:rFonts w:ascii="Wingdings" w:hAnsi="Wingdings" w:hint="default"/>
      </w:rPr>
    </w:lvl>
    <w:lvl w:ilvl="5" w:tplc="04090005" w:tentative="1">
      <w:start w:val="1"/>
      <w:numFmt w:val="bullet"/>
      <w:lvlText w:val=""/>
      <w:lvlJc w:val="left"/>
      <w:pPr>
        <w:ind w:left="2972" w:hanging="480"/>
      </w:pPr>
      <w:rPr>
        <w:rFonts w:ascii="Wingdings" w:hAnsi="Wingdings" w:hint="default"/>
      </w:rPr>
    </w:lvl>
    <w:lvl w:ilvl="6" w:tplc="04090001" w:tentative="1">
      <w:start w:val="1"/>
      <w:numFmt w:val="bullet"/>
      <w:lvlText w:val=""/>
      <w:lvlJc w:val="left"/>
      <w:pPr>
        <w:ind w:left="3452" w:hanging="480"/>
      </w:pPr>
      <w:rPr>
        <w:rFonts w:ascii="Wingdings" w:hAnsi="Wingdings" w:hint="default"/>
      </w:rPr>
    </w:lvl>
    <w:lvl w:ilvl="7" w:tplc="04090003" w:tentative="1">
      <w:start w:val="1"/>
      <w:numFmt w:val="bullet"/>
      <w:lvlText w:val=""/>
      <w:lvlJc w:val="left"/>
      <w:pPr>
        <w:ind w:left="3932" w:hanging="480"/>
      </w:pPr>
      <w:rPr>
        <w:rFonts w:ascii="Wingdings" w:hAnsi="Wingdings" w:hint="default"/>
      </w:rPr>
    </w:lvl>
    <w:lvl w:ilvl="8" w:tplc="04090005" w:tentative="1">
      <w:start w:val="1"/>
      <w:numFmt w:val="bullet"/>
      <w:lvlText w:val=""/>
      <w:lvlJc w:val="left"/>
      <w:pPr>
        <w:ind w:left="4412" w:hanging="480"/>
      </w:pPr>
      <w:rPr>
        <w:rFonts w:ascii="Wingdings" w:hAnsi="Wingdings" w:hint="default"/>
      </w:rPr>
    </w:lvl>
  </w:abstractNum>
  <w:abstractNum w:abstractNumId="59" w15:restartNumberingAfterBreak="0">
    <w:nsid w:val="520F632F"/>
    <w:multiLevelType w:val="hybridMultilevel"/>
    <w:tmpl w:val="EAE870E2"/>
    <w:lvl w:ilvl="0" w:tplc="A42A752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21B103A"/>
    <w:multiLevelType w:val="hybridMultilevel"/>
    <w:tmpl w:val="5562225C"/>
    <w:lvl w:ilvl="0" w:tplc="01580DD0">
      <w:start w:val="1"/>
      <w:numFmt w:val="lowerRoman"/>
      <w:lvlText w:val="(%1)"/>
      <w:lvlJc w:val="left"/>
      <w:pPr>
        <w:ind w:left="720" w:hanging="72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21E076D"/>
    <w:multiLevelType w:val="hybridMultilevel"/>
    <w:tmpl w:val="696E20D8"/>
    <w:lvl w:ilvl="0" w:tplc="F182946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6C62520"/>
    <w:multiLevelType w:val="hybridMultilevel"/>
    <w:tmpl w:val="69E2730E"/>
    <w:lvl w:ilvl="0" w:tplc="7EB8E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7301839"/>
    <w:multiLevelType w:val="hybridMultilevel"/>
    <w:tmpl w:val="F4F2B05A"/>
    <w:lvl w:ilvl="0" w:tplc="C0528BE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A8F5718"/>
    <w:multiLevelType w:val="hybridMultilevel"/>
    <w:tmpl w:val="7AE4F4FC"/>
    <w:lvl w:ilvl="0" w:tplc="F6F0FE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D84D3C"/>
    <w:multiLevelType w:val="hybridMultilevel"/>
    <w:tmpl w:val="20B648F0"/>
    <w:lvl w:ilvl="0" w:tplc="A698B158">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CAE3861"/>
    <w:multiLevelType w:val="hybridMultilevel"/>
    <w:tmpl w:val="357AF872"/>
    <w:lvl w:ilvl="0" w:tplc="7E26F72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CD35F05"/>
    <w:multiLevelType w:val="hybridMultilevel"/>
    <w:tmpl w:val="29C495CA"/>
    <w:lvl w:ilvl="0" w:tplc="08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8" w15:restartNumberingAfterBreak="0">
    <w:nsid w:val="5FBB6008"/>
    <w:multiLevelType w:val="hybridMultilevel"/>
    <w:tmpl w:val="982C65BC"/>
    <w:lvl w:ilvl="0" w:tplc="B4E0A286">
      <w:start w:val="1"/>
      <w:numFmt w:val="bullet"/>
      <w:pStyle w:val="Bulletpoint"/>
      <w:lvlText w:val=""/>
      <w:lvlJc w:val="left"/>
      <w:pPr>
        <w:tabs>
          <w:tab w:val="num" w:pos="851"/>
        </w:tabs>
        <w:ind w:left="851" w:hanging="851"/>
      </w:pPr>
      <w:rPr>
        <w:rFonts w:ascii="Symbol" w:hAnsi="Symbol" w:hint="default"/>
        <w:color w:val="auto"/>
      </w:rPr>
    </w:lvl>
    <w:lvl w:ilvl="1" w:tplc="B602E818">
      <w:start w:val="1"/>
      <w:numFmt w:val="bullet"/>
      <w:lvlText w:val="–"/>
      <w:lvlJc w:val="left"/>
      <w:pPr>
        <w:tabs>
          <w:tab w:val="num" w:pos="851"/>
        </w:tabs>
        <w:ind w:left="85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19076E"/>
    <w:multiLevelType w:val="hybridMultilevel"/>
    <w:tmpl w:val="42923738"/>
    <w:lvl w:ilvl="0" w:tplc="0966F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638F2A07"/>
    <w:multiLevelType w:val="hybridMultilevel"/>
    <w:tmpl w:val="8AA2FFC6"/>
    <w:lvl w:ilvl="0" w:tplc="5F4ECB6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5EA7E8B"/>
    <w:multiLevelType w:val="hybridMultilevel"/>
    <w:tmpl w:val="F3187B34"/>
    <w:lvl w:ilvl="0" w:tplc="31E0C688">
      <w:start w:val="1"/>
      <w:numFmt w:val="bullet"/>
      <w:lvlText w:val="-"/>
      <w:lvlJc w:val="left"/>
      <w:pPr>
        <w:ind w:left="360" w:hanging="360"/>
      </w:pPr>
      <w:rPr>
        <w:rFonts w:ascii="Simplified Arabic Fixed" w:hAnsi="Simplified Arabic Fixed" w:hint="default"/>
        <w:b/>
        <w:i w:val="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7B97AC7"/>
    <w:multiLevelType w:val="hybridMultilevel"/>
    <w:tmpl w:val="CB424E0A"/>
    <w:lvl w:ilvl="0" w:tplc="9E28EC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6A702515"/>
    <w:multiLevelType w:val="hybridMultilevel"/>
    <w:tmpl w:val="C4FEC448"/>
    <w:lvl w:ilvl="0" w:tplc="81DAF46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B764CF4"/>
    <w:multiLevelType w:val="hybridMultilevel"/>
    <w:tmpl w:val="714E5374"/>
    <w:lvl w:ilvl="0" w:tplc="FDB4A5D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CBF36AF"/>
    <w:multiLevelType w:val="hybridMultilevel"/>
    <w:tmpl w:val="2AB2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F0558D4"/>
    <w:multiLevelType w:val="hybridMultilevel"/>
    <w:tmpl w:val="8CD068B4"/>
    <w:lvl w:ilvl="0" w:tplc="3A145A1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04B375D"/>
    <w:multiLevelType w:val="hybridMultilevel"/>
    <w:tmpl w:val="16564374"/>
    <w:lvl w:ilvl="0" w:tplc="05B8CADC">
      <w:start w:val="1"/>
      <w:numFmt w:val="lowerRoman"/>
      <w:lvlText w:val="(%1)"/>
      <w:lvlJc w:val="left"/>
      <w:pPr>
        <w:ind w:left="720" w:hanging="720"/>
      </w:pPr>
      <w:rPr>
        <w:rFonts w:hint="default"/>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07B01CA"/>
    <w:multiLevelType w:val="hybridMultilevel"/>
    <w:tmpl w:val="36305FB0"/>
    <w:lvl w:ilvl="0" w:tplc="5260A7D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0D9043F"/>
    <w:multiLevelType w:val="hybridMultilevel"/>
    <w:tmpl w:val="269EC038"/>
    <w:lvl w:ilvl="0" w:tplc="A1BAC98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19A67CA"/>
    <w:multiLevelType w:val="hybridMultilevel"/>
    <w:tmpl w:val="7568AD1A"/>
    <w:lvl w:ilvl="0" w:tplc="A81852F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20278E0"/>
    <w:multiLevelType w:val="hybridMultilevel"/>
    <w:tmpl w:val="443AAFD4"/>
    <w:lvl w:ilvl="0" w:tplc="6650A7C8">
      <w:start w:val="1"/>
      <w:numFmt w:val="lowerRoman"/>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82" w15:restartNumberingAfterBreak="0">
    <w:nsid w:val="72F333C8"/>
    <w:multiLevelType w:val="hybridMultilevel"/>
    <w:tmpl w:val="F5D448AC"/>
    <w:lvl w:ilvl="0" w:tplc="55A04860">
      <w:start w:val="9"/>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3CC1F16"/>
    <w:multiLevelType w:val="hybridMultilevel"/>
    <w:tmpl w:val="0BF4F8A2"/>
    <w:lvl w:ilvl="0" w:tplc="08B44082">
      <w:numFmt w:val="bullet"/>
      <w:lvlText w:val="-"/>
      <w:lvlJc w:val="left"/>
      <w:pPr>
        <w:ind w:left="360" w:hanging="360"/>
      </w:pPr>
      <w:rPr>
        <w:rFonts w:ascii="Segoe UI" w:eastAsia="Times New Roman"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3D8098E"/>
    <w:multiLevelType w:val="hybridMultilevel"/>
    <w:tmpl w:val="578E4812"/>
    <w:lvl w:ilvl="0" w:tplc="F09659A0">
      <w:start w:val="1"/>
      <w:numFmt w:val="upperLetter"/>
      <w:lvlText w:val="%1."/>
      <w:lvlJc w:val="left"/>
      <w:pPr>
        <w:ind w:left="417" w:hanging="360"/>
      </w:pPr>
      <w:rPr>
        <w:rFonts w:hint="eastAsia"/>
        <w:sz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5EF1209"/>
    <w:multiLevelType w:val="hybridMultilevel"/>
    <w:tmpl w:val="EE827D00"/>
    <w:lvl w:ilvl="0" w:tplc="22F09EBA">
      <w:start w:val="1"/>
      <w:numFmt w:val="lowerLetter"/>
      <w:lvlText w:val="(%1)"/>
      <w:lvlJc w:val="left"/>
      <w:pPr>
        <w:ind w:left="916" w:hanging="480"/>
      </w:pPr>
      <w:rPr>
        <w:rFonts w:hint="default"/>
      </w:rPr>
    </w:lvl>
    <w:lvl w:ilvl="1" w:tplc="08090001">
      <w:start w:val="1"/>
      <w:numFmt w:val="bullet"/>
      <w:lvlText w:val=""/>
      <w:lvlJc w:val="left"/>
      <w:pPr>
        <w:ind w:left="1396" w:hanging="480"/>
      </w:pPr>
      <w:rPr>
        <w:rFonts w:ascii="Symbol" w:hAnsi="Symbol" w:hint="default"/>
      </w:rPr>
    </w:lvl>
    <w:lvl w:ilvl="2" w:tplc="0409001B" w:tentative="1">
      <w:start w:val="1"/>
      <w:numFmt w:val="lowerRoman"/>
      <w:lvlText w:val="%3."/>
      <w:lvlJc w:val="right"/>
      <w:pPr>
        <w:ind w:left="1876" w:hanging="480"/>
      </w:pPr>
    </w:lvl>
    <w:lvl w:ilvl="3" w:tplc="0409000F" w:tentative="1">
      <w:start w:val="1"/>
      <w:numFmt w:val="decimal"/>
      <w:lvlText w:val="%4."/>
      <w:lvlJc w:val="left"/>
      <w:pPr>
        <w:ind w:left="2356" w:hanging="480"/>
      </w:pPr>
    </w:lvl>
    <w:lvl w:ilvl="4" w:tplc="04090019" w:tentative="1">
      <w:start w:val="1"/>
      <w:numFmt w:val="ideographTraditional"/>
      <w:lvlText w:val="%5、"/>
      <w:lvlJc w:val="left"/>
      <w:pPr>
        <w:ind w:left="2836" w:hanging="480"/>
      </w:pPr>
    </w:lvl>
    <w:lvl w:ilvl="5" w:tplc="0409001B" w:tentative="1">
      <w:start w:val="1"/>
      <w:numFmt w:val="lowerRoman"/>
      <w:lvlText w:val="%6."/>
      <w:lvlJc w:val="right"/>
      <w:pPr>
        <w:ind w:left="3316" w:hanging="480"/>
      </w:pPr>
    </w:lvl>
    <w:lvl w:ilvl="6" w:tplc="0409000F" w:tentative="1">
      <w:start w:val="1"/>
      <w:numFmt w:val="decimal"/>
      <w:lvlText w:val="%7."/>
      <w:lvlJc w:val="left"/>
      <w:pPr>
        <w:ind w:left="3796" w:hanging="480"/>
      </w:pPr>
    </w:lvl>
    <w:lvl w:ilvl="7" w:tplc="04090019" w:tentative="1">
      <w:start w:val="1"/>
      <w:numFmt w:val="ideographTraditional"/>
      <w:lvlText w:val="%8、"/>
      <w:lvlJc w:val="left"/>
      <w:pPr>
        <w:ind w:left="4276" w:hanging="480"/>
      </w:pPr>
    </w:lvl>
    <w:lvl w:ilvl="8" w:tplc="0409001B" w:tentative="1">
      <w:start w:val="1"/>
      <w:numFmt w:val="lowerRoman"/>
      <w:lvlText w:val="%9."/>
      <w:lvlJc w:val="right"/>
      <w:pPr>
        <w:ind w:left="4756" w:hanging="480"/>
      </w:pPr>
    </w:lvl>
  </w:abstractNum>
  <w:abstractNum w:abstractNumId="86" w15:restartNumberingAfterBreak="0">
    <w:nsid w:val="76EE6501"/>
    <w:multiLevelType w:val="hybridMultilevel"/>
    <w:tmpl w:val="D04A2140"/>
    <w:lvl w:ilvl="0" w:tplc="8F24C01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7281889"/>
    <w:multiLevelType w:val="hybridMultilevel"/>
    <w:tmpl w:val="415CC944"/>
    <w:lvl w:ilvl="0" w:tplc="DCF659D2">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73C7C44"/>
    <w:multiLevelType w:val="hybridMultilevel"/>
    <w:tmpl w:val="E57ECAE2"/>
    <w:lvl w:ilvl="0" w:tplc="8C983CC6">
      <w:numFmt w:val="bullet"/>
      <w:lvlText w:val="−"/>
      <w:lvlJc w:val="left"/>
      <w:pPr>
        <w:ind w:left="360" w:hanging="360"/>
      </w:pPr>
      <w:rPr>
        <w:rFonts w:ascii="Segoe UI" w:eastAsiaTheme="minorEastAsia" w:hAnsi="Segoe UI" w:cs="Segoe U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77B116DC"/>
    <w:multiLevelType w:val="hybridMultilevel"/>
    <w:tmpl w:val="72E4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B606943"/>
    <w:multiLevelType w:val="hybridMultilevel"/>
    <w:tmpl w:val="E3003D50"/>
    <w:lvl w:ilvl="0" w:tplc="C90427C8">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BC4613C"/>
    <w:multiLevelType w:val="hybridMultilevel"/>
    <w:tmpl w:val="2574370E"/>
    <w:lvl w:ilvl="0" w:tplc="E7C6201C">
      <w:start w:val="1"/>
      <w:numFmt w:val="lowerRoman"/>
      <w:lvlText w:val="(%1)"/>
      <w:lvlJc w:val="left"/>
      <w:pPr>
        <w:ind w:left="1120" w:hanging="72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92" w15:restartNumberingAfterBreak="0">
    <w:nsid w:val="7C244903"/>
    <w:multiLevelType w:val="hybridMultilevel"/>
    <w:tmpl w:val="41C0CC06"/>
    <w:lvl w:ilvl="0" w:tplc="2BEC7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F1218D4"/>
    <w:multiLevelType w:val="hybridMultilevel"/>
    <w:tmpl w:val="80A4B8E2"/>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74"/>
  </w:num>
  <w:num w:numId="3">
    <w:abstractNumId w:val="78"/>
  </w:num>
  <w:num w:numId="4">
    <w:abstractNumId w:val="49"/>
  </w:num>
  <w:num w:numId="5">
    <w:abstractNumId w:val="80"/>
  </w:num>
  <w:num w:numId="6">
    <w:abstractNumId w:val="33"/>
  </w:num>
  <w:num w:numId="7">
    <w:abstractNumId w:val="82"/>
  </w:num>
  <w:num w:numId="8">
    <w:abstractNumId w:val="69"/>
  </w:num>
  <w:num w:numId="9">
    <w:abstractNumId w:val="18"/>
  </w:num>
  <w:num w:numId="10">
    <w:abstractNumId w:val="68"/>
  </w:num>
  <w:num w:numId="11">
    <w:abstractNumId w:val="48"/>
  </w:num>
  <w:num w:numId="12">
    <w:abstractNumId w:val="57"/>
  </w:num>
  <w:num w:numId="13">
    <w:abstractNumId w:val="56"/>
  </w:num>
  <w:num w:numId="14">
    <w:abstractNumId w:val="91"/>
  </w:num>
  <w:num w:numId="15">
    <w:abstractNumId w:val="50"/>
  </w:num>
  <w:num w:numId="16">
    <w:abstractNumId w:val="35"/>
  </w:num>
  <w:num w:numId="17">
    <w:abstractNumId w:val="28"/>
  </w:num>
  <w:num w:numId="18">
    <w:abstractNumId w:val="9"/>
  </w:num>
  <w:num w:numId="19">
    <w:abstractNumId w:val="8"/>
  </w:num>
  <w:num w:numId="20">
    <w:abstractNumId w:val="21"/>
  </w:num>
  <w:num w:numId="21">
    <w:abstractNumId w:val="58"/>
  </w:num>
  <w:num w:numId="22">
    <w:abstractNumId w:val="41"/>
  </w:num>
  <w:num w:numId="23">
    <w:abstractNumId w:val="43"/>
  </w:num>
  <w:num w:numId="24">
    <w:abstractNumId w:val="37"/>
  </w:num>
  <w:num w:numId="25">
    <w:abstractNumId w:val="19"/>
  </w:num>
  <w:num w:numId="26">
    <w:abstractNumId w:val="7"/>
  </w:num>
  <w:num w:numId="27">
    <w:abstractNumId w:val="27"/>
  </w:num>
  <w:num w:numId="28">
    <w:abstractNumId w:val="2"/>
  </w:num>
  <w:num w:numId="29">
    <w:abstractNumId w:val="65"/>
  </w:num>
  <w:num w:numId="30">
    <w:abstractNumId w:val="89"/>
  </w:num>
  <w:num w:numId="31">
    <w:abstractNumId w:val="5"/>
  </w:num>
  <w:num w:numId="32">
    <w:abstractNumId w:val="73"/>
  </w:num>
  <w:num w:numId="33">
    <w:abstractNumId w:val="32"/>
  </w:num>
  <w:num w:numId="34">
    <w:abstractNumId w:val="30"/>
  </w:num>
  <w:num w:numId="35">
    <w:abstractNumId w:val="22"/>
  </w:num>
  <w:num w:numId="36">
    <w:abstractNumId w:val="24"/>
  </w:num>
  <w:num w:numId="37">
    <w:abstractNumId w:val="39"/>
  </w:num>
  <w:num w:numId="38">
    <w:abstractNumId w:val="10"/>
  </w:num>
  <w:num w:numId="39">
    <w:abstractNumId w:val="12"/>
  </w:num>
  <w:num w:numId="40">
    <w:abstractNumId w:val="26"/>
  </w:num>
  <w:num w:numId="41">
    <w:abstractNumId w:val="67"/>
  </w:num>
  <w:num w:numId="42">
    <w:abstractNumId w:val="75"/>
  </w:num>
  <w:num w:numId="43">
    <w:abstractNumId w:val="17"/>
  </w:num>
  <w:num w:numId="44">
    <w:abstractNumId w:val="40"/>
  </w:num>
  <w:num w:numId="45">
    <w:abstractNumId w:val="31"/>
  </w:num>
  <w:num w:numId="46">
    <w:abstractNumId w:val="93"/>
  </w:num>
  <w:num w:numId="47">
    <w:abstractNumId w:val="88"/>
  </w:num>
  <w:num w:numId="48">
    <w:abstractNumId w:val="46"/>
  </w:num>
  <w:num w:numId="49">
    <w:abstractNumId w:val="63"/>
  </w:num>
  <w:num w:numId="50">
    <w:abstractNumId w:val="51"/>
  </w:num>
  <w:num w:numId="51">
    <w:abstractNumId w:val="29"/>
  </w:num>
  <w:num w:numId="52">
    <w:abstractNumId w:val="44"/>
  </w:num>
  <w:num w:numId="53">
    <w:abstractNumId w:val="14"/>
  </w:num>
  <w:num w:numId="54">
    <w:abstractNumId w:val="81"/>
  </w:num>
  <w:num w:numId="55">
    <w:abstractNumId w:val="66"/>
  </w:num>
  <w:num w:numId="56">
    <w:abstractNumId w:val="92"/>
  </w:num>
  <w:num w:numId="57">
    <w:abstractNumId w:val="77"/>
  </w:num>
  <w:num w:numId="58">
    <w:abstractNumId w:val="34"/>
  </w:num>
  <w:num w:numId="59">
    <w:abstractNumId w:val="62"/>
  </w:num>
  <w:num w:numId="60">
    <w:abstractNumId w:val="36"/>
  </w:num>
  <w:num w:numId="61">
    <w:abstractNumId w:val="11"/>
  </w:num>
  <w:num w:numId="62">
    <w:abstractNumId w:val="23"/>
  </w:num>
  <w:num w:numId="63">
    <w:abstractNumId w:val="72"/>
  </w:num>
  <w:num w:numId="64">
    <w:abstractNumId w:val="20"/>
  </w:num>
  <w:num w:numId="65">
    <w:abstractNumId w:val="4"/>
  </w:num>
  <w:num w:numId="66">
    <w:abstractNumId w:val="1"/>
  </w:num>
  <w:num w:numId="67">
    <w:abstractNumId w:val="53"/>
  </w:num>
  <w:num w:numId="68">
    <w:abstractNumId w:val="85"/>
  </w:num>
  <w:num w:numId="69">
    <w:abstractNumId w:val="15"/>
  </w:num>
  <w:num w:numId="70">
    <w:abstractNumId w:val="0"/>
  </w:num>
  <w:num w:numId="71">
    <w:abstractNumId w:val="76"/>
  </w:num>
  <w:num w:numId="72">
    <w:abstractNumId w:val="38"/>
  </w:num>
  <w:num w:numId="73">
    <w:abstractNumId w:val="61"/>
  </w:num>
  <w:num w:numId="74">
    <w:abstractNumId w:val="79"/>
  </w:num>
  <w:num w:numId="75">
    <w:abstractNumId w:val="87"/>
  </w:num>
  <w:num w:numId="76">
    <w:abstractNumId w:val="70"/>
  </w:num>
  <w:num w:numId="77">
    <w:abstractNumId w:val="52"/>
  </w:num>
  <w:num w:numId="78">
    <w:abstractNumId w:val="3"/>
  </w:num>
  <w:num w:numId="79">
    <w:abstractNumId w:val="59"/>
  </w:num>
  <w:num w:numId="80">
    <w:abstractNumId w:val="25"/>
  </w:num>
  <w:num w:numId="81">
    <w:abstractNumId w:val="60"/>
  </w:num>
  <w:num w:numId="82">
    <w:abstractNumId w:val="84"/>
  </w:num>
  <w:num w:numId="83">
    <w:abstractNumId w:val="6"/>
  </w:num>
  <w:num w:numId="84">
    <w:abstractNumId w:val="42"/>
  </w:num>
  <w:num w:numId="85">
    <w:abstractNumId w:val="54"/>
  </w:num>
  <w:num w:numId="86">
    <w:abstractNumId w:val="55"/>
  </w:num>
  <w:num w:numId="87">
    <w:abstractNumId w:val="86"/>
  </w:num>
  <w:num w:numId="88">
    <w:abstractNumId w:val="45"/>
  </w:num>
  <w:num w:numId="89">
    <w:abstractNumId w:val="16"/>
  </w:num>
  <w:num w:numId="90">
    <w:abstractNumId w:val="47"/>
  </w:num>
  <w:num w:numId="91">
    <w:abstractNumId w:val="90"/>
  </w:num>
  <w:num w:numId="92">
    <w:abstractNumId w:val="64"/>
  </w:num>
  <w:num w:numId="93">
    <w:abstractNumId w:val="71"/>
  </w:num>
  <w:num w:numId="94">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DC"/>
    <w:rsid w:val="0001463A"/>
    <w:rsid w:val="000301D4"/>
    <w:rsid w:val="000665DA"/>
    <w:rsid w:val="00076778"/>
    <w:rsid w:val="00082C1A"/>
    <w:rsid w:val="000A7BEB"/>
    <w:rsid w:val="000B662C"/>
    <w:rsid w:val="000D2B04"/>
    <w:rsid w:val="000E2735"/>
    <w:rsid w:val="00131329"/>
    <w:rsid w:val="001449B5"/>
    <w:rsid w:val="00154B59"/>
    <w:rsid w:val="00162100"/>
    <w:rsid w:val="001648F7"/>
    <w:rsid w:val="00184B4C"/>
    <w:rsid w:val="001B44D3"/>
    <w:rsid w:val="001B61CF"/>
    <w:rsid w:val="0020369A"/>
    <w:rsid w:val="00207F7D"/>
    <w:rsid w:val="00233D40"/>
    <w:rsid w:val="002360D1"/>
    <w:rsid w:val="0024178E"/>
    <w:rsid w:val="0024427A"/>
    <w:rsid w:val="00244AE8"/>
    <w:rsid w:val="00250D68"/>
    <w:rsid w:val="00251181"/>
    <w:rsid w:val="0028399F"/>
    <w:rsid w:val="002A0515"/>
    <w:rsid w:val="002A569A"/>
    <w:rsid w:val="002A64AF"/>
    <w:rsid w:val="002C15D1"/>
    <w:rsid w:val="002C3E66"/>
    <w:rsid w:val="002C7BCF"/>
    <w:rsid w:val="00320E8E"/>
    <w:rsid w:val="00336E23"/>
    <w:rsid w:val="00341C20"/>
    <w:rsid w:val="003824E1"/>
    <w:rsid w:val="0039707A"/>
    <w:rsid w:val="003B25D3"/>
    <w:rsid w:val="003B6A66"/>
    <w:rsid w:val="003E3745"/>
    <w:rsid w:val="003E63C5"/>
    <w:rsid w:val="0041150E"/>
    <w:rsid w:val="0044385B"/>
    <w:rsid w:val="00452C1B"/>
    <w:rsid w:val="004871A2"/>
    <w:rsid w:val="004D7DEA"/>
    <w:rsid w:val="004F2155"/>
    <w:rsid w:val="004F7DD9"/>
    <w:rsid w:val="005001D9"/>
    <w:rsid w:val="00587623"/>
    <w:rsid w:val="005A561D"/>
    <w:rsid w:val="005B43F3"/>
    <w:rsid w:val="00600548"/>
    <w:rsid w:val="006057B8"/>
    <w:rsid w:val="006076DB"/>
    <w:rsid w:val="00613FAA"/>
    <w:rsid w:val="0064032A"/>
    <w:rsid w:val="00646201"/>
    <w:rsid w:val="006843CC"/>
    <w:rsid w:val="00687BD0"/>
    <w:rsid w:val="006D0075"/>
    <w:rsid w:val="006D7A93"/>
    <w:rsid w:val="007136E5"/>
    <w:rsid w:val="00716FD3"/>
    <w:rsid w:val="00732B57"/>
    <w:rsid w:val="00732F39"/>
    <w:rsid w:val="00747F8B"/>
    <w:rsid w:val="00753F9C"/>
    <w:rsid w:val="00756650"/>
    <w:rsid w:val="007722D6"/>
    <w:rsid w:val="007727CA"/>
    <w:rsid w:val="007762B8"/>
    <w:rsid w:val="00776A16"/>
    <w:rsid w:val="007A787C"/>
    <w:rsid w:val="007C29DB"/>
    <w:rsid w:val="007E252D"/>
    <w:rsid w:val="008000E7"/>
    <w:rsid w:val="00804342"/>
    <w:rsid w:val="00827203"/>
    <w:rsid w:val="00843534"/>
    <w:rsid w:val="0087169A"/>
    <w:rsid w:val="0089690D"/>
    <w:rsid w:val="008B775D"/>
    <w:rsid w:val="008D6C05"/>
    <w:rsid w:val="008E526C"/>
    <w:rsid w:val="008F60A0"/>
    <w:rsid w:val="009105FB"/>
    <w:rsid w:val="00924DF0"/>
    <w:rsid w:val="009732DC"/>
    <w:rsid w:val="009A68E3"/>
    <w:rsid w:val="009B23C9"/>
    <w:rsid w:val="009C48C5"/>
    <w:rsid w:val="009D6AD2"/>
    <w:rsid w:val="009F49C2"/>
    <w:rsid w:val="00A132E4"/>
    <w:rsid w:val="00A16BB4"/>
    <w:rsid w:val="00A37B5D"/>
    <w:rsid w:val="00A4439D"/>
    <w:rsid w:val="00A525D9"/>
    <w:rsid w:val="00A54BE4"/>
    <w:rsid w:val="00A7437E"/>
    <w:rsid w:val="00AC3728"/>
    <w:rsid w:val="00AC6DA4"/>
    <w:rsid w:val="00AF6A0F"/>
    <w:rsid w:val="00B040DE"/>
    <w:rsid w:val="00B05160"/>
    <w:rsid w:val="00B15E71"/>
    <w:rsid w:val="00B24B0B"/>
    <w:rsid w:val="00B4317F"/>
    <w:rsid w:val="00B5613C"/>
    <w:rsid w:val="00B75E2F"/>
    <w:rsid w:val="00B8067E"/>
    <w:rsid w:val="00B83B64"/>
    <w:rsid w:val="00B945D4"/>
    <w:rsid w:val="00BC4B9D"/>
    <w:rsid w:val="00BE3D4E"/>
    <w:rsid w:val="00BF2ECC"/>
    <w:rsid w:val="00C03796"/>
    <w:rsid w:val="00C05D72"/>
    <w:rsid w:val="00C16FBD"/>
    <w:rsid w:val="00C639E1"/>
    <w:rsid w:val="00C66FB8"/>
    <w:rsid w:val="00C75E48"/>
    <w:rsid w:val="00C91900"/>
    <w:rsid w:val="00CA71C3"/>
    <w:rsid w:val="00CB1F85"/>
    <w:rsid w:val="00CB2A34"/>
    <w:rsid w:val="00CC1D92"/>
    <w:rsid w:val="00CE0A0A"/>
    <w:rsid w:val="00CE1D6C"/>
    <w:rsid w:val="00CE2D98"/>
    <w:rsid w:val="00D20E91"/>
    <w:rsid w:val="00D47E81"/>
    <w:rsid w:val="00D53F3E"/>
    <w:rsid w:val="00D61FDC"/>
    <w:rsid w:val="00D74C1E"/>
    <w:rsid w:val="00D85383"/>
    <w:rsid w:val="00DA4712"/>
    <w:rsid w:val="00DF2BE8"/>
    <w:rsid w:val="00E31EFD"/>
    <w:rsid w:val="00E54AE7"/>
    <w:rsid w:val="00E64299"/>
    <w:rsid w:val="00E82EE0"/>
    <w:rsid w:val="00EB00BF"/>
    <w:rsid w:val="00EB0C0A"/>
    <w:rsid w:val="00EC2E6A"/>
    <w:rsid w:val="00EC4B7F"/>
    <w:rsid w:val="00EC5CFB"/>
    <w:rsid w:val="00ED7101"/>
    <w:rsid w:val="00EF16EC"/>
    <w:rsid w:val="00EF6DCA"/>
    <w:rsid w:val="00F02408"/>
    <w:rsid w:val="00F26436"/>
    <w:rsid w:val="00F32ED5"/>
    <w:rsid w:val="00F46D3E"/>
    <w:rsid w:val="00F52EAA"/>
    <w:rsid w:val="00F823BC"/>
    <w:rsid w:val="00FB7C15"/>
    <w:rsid w:val="00FD19CC"/>
    <w:rsid w:val="00FF538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chartTrackingRefBased/>
  <w15:docId w15:val="{B7316E66-E9A6-4E8A-8C26-E996D23C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egoe UI" w:eastAsia="Times New Roman" w:hAnsi="Segoe UI"/>
      <w:lang w:eastAsia="en-US"/>
    </w:rPr>
  </w:style>
  <w:style w:type="paragraph" w:styleId="Heading1">
    <w:name w:val="heading 1"/>
    <w:basedOn w:val="Normal"/>
    <w:next w:val="Normal"/>
    <w:qFormat/>
    <w:pPr>
      <w:keepNext/>
      <w:keepLines/>
      <w:tabs>
        <w:tab w:val="left" w:pos="794"/>
      </w:tabs>
      <w:spacing w:before="600" w:after="360"/>
      <w:outlineLvl w:val="0"/>
    </w:pPr>
    <w:rPr>
      <w:color w:val="AA322F"/>
      <w:sz w:val="28"/>
    </w:rPr>
  </w:style>
  <w:style w:type="paragraph" w:styleId="Heading2">
    <w:name w:val="heading 2"/>
    <w:basedOn w:val="Normal"/>
    <w:next w:val="Normal"/>
    <w:qFormat/>
    <w:pPr>
      <w:keepNext/>
      <w:spacing w:line="720" w:lineRule="auto"/>
      <w:outlineLvl w:val="1"/>
    </w:pPr>
    <w:rPr>
      <w:rFonts w:ascii="Cambria" w:eastAsia="新細明體" w:hAnsi="Cambri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Chars="200" w:left="480"/>
    </w:pPr>
  </w:style>
  <w:style w:type="character" w:customStyle="1" w:styleId="Heading1Char">
    <w:name w:val="Heading 1 Char"/>
    <w:rPr>
      <w:rFonts w:ascii="Segoe UI" w:eastAsia="Times New Roman" w:hAnsi="Segoe UI" w:cs="Times New Roman"/>
      <w:color w:val="AA322F"/>
      <w:kern w:val="0"/>
      <w:sz w:val="28"/>
      <w:szCs w:val="20"/>
      <w:lang w:val="en-GB" w:eastAsia="en-US"/>
    </w:rPr>
  </w:style>
  <w:style w:type="paragraph" w:styleId="Header">
    <w:name w:val="header"/>
    <w:basedOn w:val="Normal"/>
    <w:unhideWhenUsed/>
    <w:pPr>
      <w:tabs>
        <w:tab w:val="center" w:pos="4153"/>
        <w:tab w:val="right" w:pos="8306"/>
      </w:tabs>
      <w:snapToGrid w:val="0"/>
    </w:pPr>
  </w:style>
  <w:style w:type="character" w:customStyle="1" w:styleId="HeaderChar">
    <w:name w:val="Header Char"/>
    <w:rPr>
      <w:rFonts w:ascii="Segoe UI" w:eastAsia="Times New Roman" w:hAnsi="Segoe UI" w:cs="Times New Roman"/>
      <w:kern w:val="0"/>
      <w:sz w:val="20"/>
      <w:szCs w:val="20"/>
      <w:lang w:val="en-GB" w:eastAsia="en-US"/>
    </w:rPr>
  </w:style>
  <w:style w:type="paragraph" w:styleId="Footer">
    <w:name w:val="footer"/>
    <w:basedOn w:val="Normal"/>
    <w:unhideWhenUsed/>
    <w:pPr>
      <w:tabs>
        <w:tab w:val="center" w:pos="4153"/>
        <w:tab w:val="right" w:pos="8306"/>
      </w:tabs>
      <w:snapToGrid w:val="0"/>
    </w:pPr>
  </w:style>
  <w:style w:type="character" w:customStyle="1" w:styleId="FooterChar">
    <w:name w:val="Footer Char"/>
    <w:rPr>
      <w:rFonts w:ascii="Segoe UI" w:eastAsia="Times New Roman" w:hAnsi="Segoe UI" w:cs="Times New Roman"/>
      <w:kern w:val="0"/>
      <w:sz w:val="20"/>
      <w:szCs w:val="20"/>
      <w:lang w:val="en-GB" w:eastAsia="en-US"/>
    </w:rPr>
  </w:style>
  <w:style w:type="paragraph" w:styleId="BalloonText">
    <w:name w:val="Balloon Text"/>
    <w:basedOn w:val="Normal"/>
    <w:semiHidden/>
    <w:unhideWhenUsed/>
    <w:rPr>
      <w:rFonts w:ascii="Cambria" w:eastAsia="新細明體" w:hAnsi="Cambria"/>
      <w:sz w:val="16"/>
      <w:szCs w:val="16"/>
    </w:rPr>
  </w:style>
  <w:style w:type="character" w:customStyle="1" w:styleId="BalloonTextChar">
    <w:name w:val="Balloon Text Char"/>
    <w:semiHidden/>
    <w:rPr>
      <w:rFonts w:ascii="Cambria" w:eastAsia="新細明體" w:hAnsi="Cambria" w:cs="Times New Roman"/>
      <w:kern w:val="0"/>
      <w:sz w:val="16"/>
      <w:szCs w:val="16"/>
      <w:lang w:val="en-GB" w:eastAsia="en-US"/>
    </w:rPr>
  </w:style>
  <w:style w:type="character" w:styleId="CommentReference">
    <w:name w:val="annotation reference"/>
    <w:semiHidden/>
    <w:unhideWhenUsed/>
    <w:rPr>
      <w:sz w:val="18"/>
      <w:szCs w:val="18"/>
    </w:rPr>
  </w:style>
  <w:style w:type="paragraph" w:styleId="CommentText">
    <w:name w:val="annotation text"/>
    <w:basedOn w:val="Normal"/>
    <w:unhideWhenUsed/>
  </w:style>
  <w:style w:type="character" w:customStyle="1" w:styleId="CommentTextChar">
    <w:name w:val="Comment Text Char"/>
    <w:rPr>
      <w:rFonts w:ascii="Segoe UI" w:eastAsia="Times New Roman" w:hAnsi="Segoe UI" w:cs="Times New Roman"/>
      <w:kern w:val="0"/>
      <w:sz w:val="20"/>
      <w:szCs w:val="20"/>
      <w:lang w:val="en-GB"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Segoe UI" w:eastAsia="Times New Roman" w:hAnsi="Segoe UI" w:cs="Times New Roman"/>
      <w:b/>
      <w:bCs/>
      <w:kern w:val="0"/>
      <w:sz w:val="20"/>
      <w:szCs w:val="20"/>
      <w:lang w:val="en-GB" w:eastAsia="en-US"/>
    </w:rPr>
  </w:style>
  <w:style w:type="paragraph" w:styleId="FootnoteText">
    <w:name w:val="footnote text"/>
    <w:basedOn w:val="Normal"/>
    <w:pPr>
      <w:tabs>
        <w:tab w:val="left" w:pos="397"/>
      </w:tabs>
      <w:spacing w:before="120"/>
      <w:ind w:left="397" w:hanging="397"/>
      <w:jc w:val="both"/>
    </w:pPr>
    <w:rPr>
      <w:sz w:val="16"/>
    </w:rPr>
  </w:style>
  <w:style w:type="character" w:customStyle="1" w:styleId="FootnoteTextChar">
    <w:name w:val="Footnote Text Char"/>
    <w:rPr>
      <w:rFonts w:ascii="Segoe UI" w:eastAsia="Times New Roman" w:hAnsi="Segoe UI" w:cs="Times New Roman"/>
      <w:kern w:val="0"/>
      <w:sz w:val="16"/>
      <w:szCs w:val="20"/>
      <w:lang w:val="en-GB" w:eastAsia="en-US"/>
    </w:rPr>
  </w:style>
  <w:style w:type="character" w:styleId="FootnoteReference">
    <w:name w:val="footnote reference"/>
    <w:rPr>
      <w:rFonts w:ascii="Segoe UI" w:hAnsi="Segoe UI" w:cs="Times New Roman"/>
      <w:vertAlign w:val="superscript"/>
    </w:rPr>
  </w:style>
  <w:style w:type="character" w:styleId="Hyperlink">
    <w:name w:val="Hyperlink"/>
    <w:basedOn w:val="DefaultParagraphFont"/>
    <w:uiPriority w:val="99"/>
    <w:unhideWhenUsed/>
    <w:rsid w:val="00A132E4"/>
    <w:rPr>
      <w:color w:val="0563C1" w:themeColor="hyperlink"/>
      <w:u w:val="single"/>
    </w:rPr>
  </w:style>
  <w:style w:type="paragraph" w:customStyle="1" w:styleId="TableText">
    <w:name w:val="TableText"/>
    <w:basedOn w:val="Normal"/>
    <w:pPr>
      <w:spacing w:before="40" w:after="40"/>
    </w:pPr>
    <w:rPr>
      <w:sz w:val="17"/>
    </w:rPr>
  </w:style>
  <w:style w:type="paragraph" w:customStyle="1" w:styleId="TableNote">
    <w:name w:val="TableNote"/>
    <w:basedOn w:val="Normal"/>
    <w:pPr>
      <w:spacing w:before="60" w:after="120"/>
      <w:jc w:val="both"/>
    </w:pPr>
    <w:rPr>
      <w:sz w:val="15"/>
    </w:rPr>
  </w:style>
  <w:style w:type="paragraph" w:customStyle="1" w:styleId="BoxTitle">
    <w:name w:val="BoxTitle"/>
    <w:basedOn w:val="Normal"/>
    <w:next w:val="Normal"/>
    <w:pPr>
      <w:keepNext/>
      <w:keepLines/>
      <w:spacing w:before="240" w:line="240" w:lineRule="exact"/>
      <w:outlineLvl w:val="0"/>
    </w:pPr>
    <w:rPr>
      <w:rFonts w:eastAsia="新細明體"/>
      <w:sz w:val="24"/>
    </w:rPr>
  </w:style>
  <w:style w:type="paragraph" w:customStyle="1" w:styleId="Bulletpoint">
    <w:name w:val="Bullet point"/>
    <w:basedOn w:val="Normal"/>
    <w:qFormat/>
    <w:pPr>
      <w:numPr>
        <w:numId w:val="10"/>
      </w:numPr>
      <w:tabs>
        <w:tab w:val="left" w:pos="794"/>
        <w:tab w:val="left" w:pos="1191"/>
      </w:tabs>
      <w:spacing w:after="120"/>
      <w:ind w:left="794" w:hanging="794"/>
      <w:jc w:val="both"/>
    </w:pPr>
    <w:rPr>
      <w:noProof/>
      <w:lang w:eastAsia="en-GB"/>
    </w:rPr>
  </w:style>
  <w:style w:type="paragraph" w:customStyle="1" w:styleId="IndentedHeading2">
    <w:name w:val="Indented Heading 2"/>
    <w:basedOn w:val="Heading2"/>
    <w:next w:val="Normal"/>
    <w:qFormat/>
    <w:pPr>
      <w:tabs>
        <w:tab w:val="left" w:pos="794"/>
      </w:tabs>
      <w:spacing w:before="360" w:after="240" w:line="240" w:lineRule="auto"/>
      <w:ind w:left="794" w:hanging="794"/>
    </w:pPr>
    <w:rPr>
      <w:rFonts w:ascii="Segoe UI" w:eastAsia="Times New Roman" w:hAnsi="Segoe UI"/>
      <w:b w:val="0"/>
      <w:bCs w:val="0"/>
      <w:color w:val="AA322F"/>
      <w:sz w:val="24"/>
      <w:szCs w:val="20"/>
      <w:lang w:eastAsia="en-GB"/>
    </w:rPr>
  </w:style>
  <w:style w:type="character" w:customStyle="1" w:styleId="Heading2Char">
    <w:name w:val="Heading 2 Char"/>
    <w:rPr>
      <w:rFonts w:ascii="Cambria" w:eastAsia="新細明體" w:hAnsi="Cambria" w:cs="Times New Roman"/>
      <w:b/>
      <w:bCs/>
      <w:kern w:val="0"/>
      <w:sz w:val="48"/>
      <w:szCs w:val="48"/>
      <w:lang w:val="en-GB" w:eastAsia="en-US"/>
    </w:rPr>
  </w:style>
  <w:style w:type="paragraph" w:customStyle="1" w:styleId="Default">
    <w:name w:val="Default"/>
    <w:pPr>
      <w:widowControl w:val="0"/>
      <w:autoSpaceDE w:val="0"/>
      <w:autoSpaceDN w:val="0"/>
      <w:adjustRightInd w:val="0"/>
    </w:pPr>
    <w:rPr>
      <w:rFonts w:ascii="Segoe UI" w:hAnsi="Segoe UI" w:cs="Segoe UI"/>
      <w:color w:val="000000"/>
      <w:sz w:val="24"/>
      <w:szCs w:val="24"/>
      <w:lang w:val="en-US" w:eastAsia="zh-TW"/>
    </w:rPr>
  </w:style>
  <w:style w:type="table" w:styleId="TableGrid">
    <w:name w:val="Table Grid"/>
    <w:basedOn w:val="TableNormal"/>
    <w:uiPriority w:val="59"/>
    <w:rsid w:val="002A0515"/>
    <w:rPr>
      <w:rFonts w:asciiTheme="minorHAnsi" w:eastAsiaTheme="minorEastAsia" w:hAnsiTheme="minorHAnsi" w:cstheme="minorBidi"/>
      <w:kern w:val="2"/>
      <w:sz w:val="24"/>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0515"/>
    <w:rPr>
      <w:rFonts w:asciiTheme="minorHAnsi" w:eastAsiaTheme="minorEastAsia" w:hAnsiTheme="minorHAnsi" w:cstheme="minorBidi"/>
      <w:kern w:val="2"/>
      <w:sz w:val="24"/>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0515"/>
    <w:rPr>
      <w:rFonts w:asciiTheme="minorHAnsi" w:eastAsiaTheme="minorEastAsia" w:hAnsiTheme="minorHAnsi" w:cstheme="minorBidi"/>
      <w:kern w:val="2"/>
      <w:sz w:val="24"/>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0515"/>
    <w:rPr>
      <w:rFonts w:ascii="Segoe UI" w:eastAsia="Times New Roman" w:hAnsi="Segoe U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1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kma.gov.hk/media/eng/doc/key-information/guidelines-and-circular/2019/20190321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B0BB-5F9F-4E95-994D-C6B897E0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11099</Words>
  <Characters>63269</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Summary of disclosure templates and tables</vt:lpstr>
    </vt:vector>
  </TitlesOfParts>
  <Company>Hong Kong Monetary Authority</Company>
  <LinksUpToDate>false</LinksUpToDate>
  <CharactersWithSpaces>74220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disclosure templates and tables</dc:title>
  <dc:subject/>
  <dc:creator>BPB</dc:creator>
  <cp:keywords/>
  <cp:lastModifiedBy>BPB2</cp:lastModifiedBy>
  <cp:revision>3</cp:revision>
  <cp:lastPrinted>2021-06-02T08:12:00Z</cp:lastPrinted>
  <dcterms:created xsi:type="dcterms:W3CDTF">2021-06-02T08:55:00Z</dcterms:created>
  <dcterms:modified xsi:type="dcterms:W3CDTF">2021-06-02T09:23:00Z</dcterms:modified>
</cp:coreProperties>
</file>