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0" w:rsidRPr="000D7DD9" w:rsidRDefault="00EA5610" w:rsidP="000D7DD9">
      <w:pPr>
        <w:wordWrap w:val="0"/>
        <w:jc w:val="right"/>
        <w:rPr>
          <w:rFonts w:ascii="Times New Roman" w:hAnsi="Times New Roman" w:cs="Times New Roman"/>
          <w:b/>
          <w:szCs w:val="24"/>
          <w:u w:val="single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  <w:u w:val="single"/>
          <w:lang w:val="en-GB"/>
        </w:rPr>
        <w:t>V.</w:t>
      </w:r>
      <w:r w:rsidR="0051174C" w:rsidRPr="006A33CC">
        <w:rPr>
          <w:rFonts w:ascii="Times New Roman" w:hAnsi="Times New Roman" w:cs="Times New Roman"/>
          <w:b/>
          <w:szCs w:val="24"/>
          <w:highlight w:val="yellow"/>
          <w:u w:val="single"/>
          <w:lang w:val="en-GB"/>
        </w:rPr>
        <w:t>2</w:t>
      </w:r>
      <w:r w:rsidRPr="006A33CC">
        <w:rPr>
          <w:rFonts w:ascii="Times New Roman" w:hAnsi="Times New Roman" w:cs="Times New Roman"/>
          <w:b/>
          <w:szCs w:val="24"/>
          <w:highlight w:val="yellow"/>
          <w:u w:val="single"/>
          <w:lang w:val="en-GB"/>
        </w:rPr>
        <w:t xml:space="preserve">, </w:t>
      </w:r>
      <w:r w:rsidR="00455B8E">
        <w:rPr>
          <w:rFonts w:ascii="Times New Roman" w:hAnsi="Times New Roman" w:cs="Times New Roman"/>
          <w:b/>
          <w:szCs w:val="24"/>
          <w:u w:val="single"/>
          <w:lang w:val="en-GB"/>
        </w:rPr>
        <w:t>30</w:t>
      </w:r>
      <w:r w:rsidR="002B79E5">
        <w:rPr>
          <w:rFonts w:ascii="Times New Roman" w:hAnsi="Times New Roman" w:cs="Times New Roman"/>
          <w:b/>
          <w:szCs w:val="24"/>
          <w:u w:val="single"/>
          <w:lang w:val="en-GB"/>
        </w:rPr>
        <w:t xml:space="preserve"> April</w:t>
      </w:r>
      <w:r w:rsidR="00550DC8">
        <w:rPr>
          <w:rFonts w:ascii="Times New Roman" w:hAnsi="Times New Roman" w:cs="Times New Roman"/>
          <w:b/>
          <w:szCs w:val="24"/>
          <w:u w:val="single"/>
          <w:lang w:val="en-GB"/>
        </w:rPr>
        <w:t xml:space="preserve"> </w:t>
      </w:r>
      <w:r w:rsidR="00ED4C83">
        <w:rPr>
          <w:rFonts w:ascii="Times New Roman" w:hAnsi="Times New Roman" w:cs="Times New Roman"/>
          <w:b/>
          <w:szCs w:val="24"/>
          <w:u w:val="single"/>
          <w:lang w:val="en-GB"/>
        </w:rPr>
        <w:t>2019</w:t>
      </w:r>
    </w:p>
    <w:p w:rsidR="00F16930" w:rsidRPr="007D67A9" w:rsidRDefault="00550C8C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Supervisory Communication Website &gt; </w:t>
      </w:r>
      <w:r w:rsidR="0090186D">
        <w:rPr>
          <w:rFonts w:ascii="Times New Roman" w:hAnsi="Times New Roman" w:cs="Times New Roman"/>
          <w:b/>
          <w:szCs w:val="24"/>
          <w:u w:val="single"/>
        </w:rPr>
        <w:t>Supervisory Policy</w:t>
      </w:r>
      <w:r>
        <w:rPr>
          <w:rFonts w:ascii="Times New Roman" w:hAnsi="Times New Roman" w:cs="Times New Roman"/>
          <w:b/>
          <w:szCs w:val="24"/>
          <w:u w:val="single"/>
        </w:rPr>
        <w:t xml:space="preserve"> &gt; FAQ &gt; IRRBB</w:t>
      </w:r>
    </w:p>
    <w:p w:rsidR="00F16930" w:rsidRPr="007D67A9" w:rsidRDefault="00F16930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9923"/>
      </w:tblGrid>
      <w:tr w:rsidR="00AE5C53" w:rsidRPr="007D67A9" w:rsidTr="00161317">
        <w:tc>
          <w:tcPr>
            <w:tcW w:w="709" w:type="dxa"/>
          </w:tcPr>
          <w:p w:rsidR="00AE5C53" w:rsidRPr="007D67A9" w:rsidRDefault="00AE5C53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7D67A9">
              <w:rPr>
                <w:rFonts w:ascii="Times New Roman" w:hAnsi="Times New Roman" w:cs="Times New Roman"/>
                <w:szCs w:val="24"/>
                <w:lang w:val="en-GB"/>
              </w:rPr>
              <w:t>Item</w:t>
            </w:r>
          </w:p>
        </w:tc>
        <w:tc>
          <w:tcPr>
            <w:tcW w:w="3260" w:type="dxa"/>
          </w:tcPr>
          <w:p w:rsidR="00AE5C53" w:rsidRPr="007D67A9" w:rsidRDefault="00AE5C53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7D67A9">
              <w:rPr>
                <w:rFonts w:ascii="Times New Roman" w:hAnsi="Times New Roman" w:cs="Times New Roman"/>
                <w:szCs w:val="24"/>
                <w:lang w:val="en-GB"/>
              </w:rPr>
              <w:t>Question</w:t>
            </w:r>
          </w:p>
        </w:tc>
        <w:tc>
          <w:tcPr>
            <w:tcW w:w="9923" w:type="dxa"/>
          </w:tcPr>
          <w:p w:rsidR="00AE5C53" w:rsidRPr="007D67A9" w:rsidRDefault="00AE5C53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7D67A9">
              <w:rPr>
                <w:rFonts w:ascii="Times New Roman" w:hAnsi="Times New Roman" w:cs="Times New Roman"/>
                <w:szCs w:val="24"/>
                <w:lang w:val="en-GB"/>
              </w:rPr>
              <w:t>Answer</w:t>
            </w:r>
          </w:p>
        </w:tc>
      </w:tr>
      <w:tr w:rsidR="0090186D" w:rsidRPr="007D67A9" w:rsidTr="00161317">
        <w:tc>
          <w:tcPr>
            <w:tcW w:w="709" w:type="dxa"/>
          </w:tcPr>
          <w:p w:rsidR="0090186D" w:rsidRPr="007D67A9" w:rsidRDefault="0090186D" w:rsidP="0090186D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</w:t>
            </w:r>
          </w:p>
        </w:tc>
        <w:tc>
          <w:tcPr>
            <w:tcW w:w="3260" w:type="dxa"/>
          </w:tcPr>
          <w:p w:rsidR="0090186D" w:rsidRPr="000D7DD9" w:rsidRDefault="0090186D" w:rsidP="000D7D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Regarding the general exemption of </w:t>
            </w:r>
            <w:r w:rsidRPr="00D55016">
              <w:rPr>
                <w:rFonts w:ascii="Times New Roman" w:hAnsi="Times New Roman" w:cs="Times New Roman"/>
                <w:szCs w:val="24"/>
                <w:lang w:val="en-GB"/>
              </w:rPr>
              <w:t xml:space="preserve">AIs incorporated outside Hong Kong from the new local IRRBB framework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set out in HKMA’s circular dated 31 August 2018, will the exempted AIs be notified?</w:t>
            </w:r>
          </w:p>
        </w:tc>
        <w:tc>
          <w:tcPr>
            <w:tcW w:w="9923" w:type="dxa"/>
          </w:tcPr>
          <w:p w:rsidR="0090186D" w:rsidRDefault="0090186D" w:rsidP="001909BB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No</w:t>
            </w:r>
            <w:r w:rsidR="00C71FB7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, there will not be any firm-specific notifications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.  As the exemption criteria and requirements have been clearly set out in the circular to all AIs dated 31 August 2018 </w:t>
            </w:r>
            <w:r w:rsidR="00C71FB7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as well as in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the finalised IRRBB policy documents published on 14 December 2018, </w:t>
            </w:r>
            <w:r w:rsidR="00C71FB7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all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AI</w:t>
            </w:r>
            <w:r w:rsidR="00C71FB7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should be able to ascertain whether </w:t>
            </w:r>
            <w:r w:rsidR="00C71FB7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they are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exempted from the new local IRRBB standards</w:t>
            </w:r>
            <w:r w:rsidR="00C71FB7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or not. </w:t>
            </w:r>
          </w:p>
          <w:p w:rsidR="0090186D" w:rsidRDefault="0090186D" w:rsidP="001909BB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</w:pPr>
          </w:p>
          <w:p w:rsidR="0090186D" w:rsidRPr="000D7DD9" w:rsidRDefault="0090186D" w:rsidP="0003075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In case of any </w:t>
            </w:r>
            <w:r w:rsidR="00C71FB7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potential remaining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doubt</w:t>
            </w:r>
            <w:r w:rsidR="00C71FB7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an AI should contact its case officer to verify whether </w:t>
            </w:r>
            <w:r w:rsidR="00C71FB7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or not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it is exempted from the new local IRRBB </w:t>
            </w:r>
            <w:r w:rsidR="00030756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framework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.</w:t>
            </w:r>
          </w:p>
        </w:tc>
      </w:tr>
      <w:tr w:rsidR="0090186D" w:rsidRPr="007D67A9" w:rsidTr="00161317">
        <w:tc>
          <w:tcPr>
            <w:tcW w:w="709" w:type="dxa"/>
          </w:tcPr>
          <w:p w:rsidR="0090186D" w:rsidRPr="007D67A9" w:rsidRDefault="0090186D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2</w:t>
            </w:r>
          </w:p>
        </w:tc>
        <w:tc>
          <w:tcPr>
            <w:tcW w:w="3260" w:type="dxa"/>
          </w:tcPr>
          <w:p w:rsidR="0090186D" w:rsidRPr="000D7DD9" w:rsidRDefault="0090186D" w:rsidP="000D7D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Regarding the general exemption of </w:t>
            </w:r>
            <w:r w:rsidRPr="00D55016">
              <w:rPr>
                <w:rFonts w:ascii="Times New Roman" w:hAnsi="Times New Roman" w:cs="Times New Roman"/>
                <w:szCs w:val="24"/>
                <w:lang w:val="en-GB"/>
              </w:rPr>
              <w:t xml:space="preserve">AIs incorporated outside Hong Kong from the new local IRRBB framework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set out in HKMA’s circular dated 31 August 2018, will the </w:t>
            </w:r>
            <w:r w:rsidRPr="00DA677A">
              <w:rPr>
                <w:rFonts w:ascii="Times New Roman" w:hAnsi="Times New Roman" w:cs="Times New Roman"/>
                <w:szCs w:val="24"/>
                <w:lang w:val="en-GB"/>
              </w:rPr>
              <w:t xml:space="preserve">parent group of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an</w:t>
            </w:r>
            <w:r w:rsidRPr="00DA677A">
              <w:rPr>
                <w:rFonts w:ascii="Times New Roman" w:hAnsi="Times New Roman" w:cs="Times New Roman"/>
                <w:szCs w:val="24"/>
                <w:lang w:val="en-GB"/>
              </w:rPr>
              <w:t xml:space="preserve"> AI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be</w:t>
            </w:r>
            <w:r w:rsidRPr="00DA677A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considered</w:t>
            </w:r>
            <w:r w:rsidRPr="00DA677A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“</w:t>
            </w:r>
            <w:r w:rsidRPr="00DA677A">
              <w:rPr>
                <w:rFonts w:ascii="Times New Roman" w:hAnsi="Times New Roman" w:cs="Times New Roman"/>
                <w:szCs w:val="24"/>
                <w:lang w:val="en-GB"/>
              </w:rPr>
              <w:t xml:space="preserve">additionally represented in Hong Kong through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a</w:t>
            </w:r>
            <w:r w:rsidRPr="00DA677A">
              <w:rPr>
                <w:rFonts w:ascii="Times New Roman" w:hAnsi="Times New Roman" w:cs="Times New Roman"/>
                <w:szCs w:val="24"/>
                <w:lang w:val="en-GB"/>
              </w:rPr>
              <w:t xml:space="preserve"> locally incorporated AI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” if the parent group only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partially owns the locally incorporated AI?</w:t>
            </w:r>
          </w:p>
        </w:tc>
        <w:tc>
          <w:tcPr>
            <w:tcW w:w="9923" w:type="dxa"/>
          </w:tcPr>
          <w:p w:rsidR="0090186D" w:rsidRPr="00DA677A" w:rsidRDefault="0090186D" w:rsidP="001909BB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</w:pP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lastRenderedPageBreak/>
              <w:t xml:space="preserve">If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the locally incorporated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AI 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is part of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the parent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group 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according to the scope of regulatory consolidation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in the home jurisdiction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, then the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parent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group will be considered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“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represented in Hong Kong through a locally incorporated AI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”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even though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the locally incorporated AI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</w:t>
            </w:r>
            <w:r w:rsidR="00C71FB7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may not be 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fully owned by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the parent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. This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also 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means </w:t>
            </w:r>
            <w:r w:rsidR="00C71FB7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that 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the Hong Kong branch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of the parent bank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will not be exempted and has to implement the new local IRRBB standards by July 2019.</w:t>
            </w:r>
          </w:p>
          <w:p w:rsidR="0090186D" w:rsidRPr="00DA677A" w:rsidRDefault="0090186D" w:rsidP="001909BB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</w:pPr>
          </w:p>
          <w:p w:rsidR="0090186D" w:rsidRPr="000D7DD9" w:rsidRDefault="0090186D" w:rsidP="00C71FB7">
            <w:pPr>
              <w:rPr>
                <w:rFonts w:ascii="Times New Roman" w:hAnsi="Times New Roman" w:cs="Times New Roman"/>
                <w:szCs w:val="24"/>
              </w:rPr>
            </w:pP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Whether the Hong Kong branch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of the parent bank 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and </w:t>
            </w:r>
            <w:r w:rsidR="00C71FB7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locally incorporated AI owned by the parent group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are completely independent in terms of structure and business decision is not a condition for the exemption</w:t>
            </w:r>
            <w:r w:rsidR="00C71FB7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. This will therefore 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not affect whether the Hong Kong branch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of the parent bank </w:t>
            </w:r>
            <w:r w:rsidRPr="00DA677A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will be exempted from implementing the new local IRRBB standards.</w:t>
            </w:r>
          </w:p>
        </w:tc>
      </w:tr>
      <w:tr w:rsidR="0090186D" w:rsidRPr="007D67A9" w:rsidTr="00161317">
        <w:tc>
          <w:tcPr>
            <w:tcW w:w="709" w:type="dxa"/>
          </w:tcPr>
          <w:p w:rsidR="0090186D" w:rsidRPr="007D67A9" w:rsidRDefault="0090186D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3260" w:type="dxa"/>
          </w:tcPr>
          <w:p w:rsidR="0090186D" w:rsidRPr="000D7DD9" w:rsidRDefault="0090186D" w:rsidP="000D7DD9">
            <w:pPr>
              <w:rPr>
                <w:rFonts w:ascii="Times New Roman" w:hAnsi="Times New Roman"/>
                <w:szCs w:val="24"/>
              </w:rPr>
            </w:pPr>
            <w:r w:rsidRPr="000D7DD9">
              <w:rPr>
                <w:rFonts w:ascii="Times New Roman" w:hAnsi="Times New Roman" w:cs="Times New Roman"/>
                <w:szCs w:val="24"/>
              </w:rPr>
              <w:t>How should AIs investigate Credit Spread Risk in the Banking Book (CSRBB) within the IRRBB framework and which products are in scope for CSRBB?</w:t>
            </w:r>
          </w:p>
        </w:tc>
        <w:tc>
          <w:tcPr>
            <w:tcW w:w="9923" w:type="dxa"/>
          </w:tcPr>
          <w:p w:rsidR="0090186D" w:rsidRPr="000D7DD9" w:rsidRDefault="0090186D" w:rsidP="000D7DD9">
            <w:pPr>
              <w:rPr>
                <w:rFonts w:ascii="Times New Roman" w:hAnsi="Times New Roman"/>
                <w:szCs w:val="24"/>
              </w:rPr>
            </w:pPr>
            <w:r w:rsidRPr="000D7DD9">
              <w:rPr>
                <w:rFonts w:ascii="Times New Roman" w:hAnsi="Times New Roman" w:cs="Times New Roman"/>
                <w:szCs w:val="24"/>
              </w:rPr>
              <w:t xml:space="preserve">In line with Section 1.4 in the Annex of the </w:t>
            </w:r>
            <w:r>
              <w:rPr>
                <w:rFonts w:ascii="Times New Roman" w:hAnsi="Times New Roman" w:cs="Times New Roman"/>
                <w:szCs w:val="24"/>
              </w:rPr>
              <w:t>Basel</w:t>
            </w:r>
            <w:r w:rsidRPr="000D7DD9">
              <w:rPr>
                <w:rFonts w:ascii="Times New Roman" w:hAnsi="Times New Roman" w:cs="Times New Roman"/>
                <w:szCs w:val="24"/>
              </w:rPr>
              <w:t xml:space="preserve"> standards on IRRBB, in particular Figure 1 on p. 34, AIs must assess CSRBB for items at fair value, that is, for example, debt securities. It is the AI’s responsibility to develop a suitable methodology for CSRBB.</w:t>
            </w:r>
          </w:p>
          <w:p w:rsidR="0090186D" w:rsidRPr="000D7DD9" w:rsidRDefault="0090186D" w:rsidP="000D7DD9">
            <w:pPr>
              <w:rPr>
                <w:rFonts w:ascii="Times New Roman" w:hAnsi="Times New Roman"/>
                <w:szCs w:val="24"/>
              </w:rPr>
            </w:pPr>
          </w:p>
        </w:tc>
      </w:tr>
      <w:tr w:rsidR="0090186D" w:rsidRPr="007D67A9" w:rsidTr="00161317">
        <w:tc>
          <w:tcPr>
            <w:tcW w:w="709" w:type="dxa"/>
          </w:tcPr>
          <w:p w:rsidR="0090186D" w:rsidRPr="007D67A9" w:rsidRDefault="0090186D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4</w:t>
            </w:r>
          </w:p>
        </w:tc>
        <w:tc>
          <w:tcPr>
            <w:tcW w:w="3260" w:type="dxa"/>
          </w:tcPr>
          <w:p w:rsidR="0090186D" w:rsidRPr="007D67A9" w:rsidRDefault="0090186D" w:rsidP="00AF3E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D67A9">
              <w:rPr>
                <w:rFonts w:ascii="Times New Roman" w:hAnsi="Times New Roman" w:cs="Times New Roman"/>
                <w:szCs w:val="24"/>
              </w:rPr>
              <w:t xml:space="preserve">At which frequency does the HKMA expect AIs to measure and monitor IRRBB? </w:t>
            </w:r>
          </w:p>
        </w:tc>
        <w:tc>
          <w:tcPr>
            <w:tcW w:w="9923" w:type="dxa"/>
          </w:tcPr>
          <w:p w:rsidR="0090186D" w:rsidRPr="000D7DD9" w:rsidRDefault="0090186D" w:rsidP="00226772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</w:pPr>
            <w:r w:rsidRPr="000D7DD9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AIs should measure their IRRBB at least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quarter</w:t>
            </w:r>
            <w:r w:rsidRPr="000D7DD9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ly and monitor their IRRBB exposure on a continuous basis.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</w:t>
            </w:r>
            <w:r w:rsidRPr="000D7DD9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Whether an AI need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s</w:t>
            </w:r>
            <w:r w:rsidRPr="000D7DD9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to measure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its</w:t>
            </w:r>
            <w:r w:rsidRPr="000D7DD9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IRRBB more frequently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(on an ongoing basis, or specifically after certain events) will </w:t>
            </w:r>
            <w:r w:rsidRPr="000D7DD9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depend on the information it gathers from the continuous monitoring process (e.g. whether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the information</w:t>
            </w:r>
            <w:r w:rsidRPr="000D7DD9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has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any </w:t>
            </w:r>
            <w:r w:rsidRPr="000D7DD9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material impact on the AI’s IRRBB) and the buffer between the IRRBB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exposures </w:t>
            </w:r>
            <w:r w:rsidRPr="000D7DD9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and the AI’s internal IRRBB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exposure</w:t>
            </w:r>
            <w:r w:rsidRPr="000D7DD9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limit.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 To ensure internal control and regulatory supervision are not undermined, </w:t>
            </w:r>
            <w:r w:rsidRPr="00733360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AIs are expected not to engage in ‘window dressing’, i.e. </w:t>
            </w:r>
            <w:r w:rsidR="00226772" w:rsidRPr="00733360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temporarily </w:t>
            </w:r>
            <w:r w:rsidRPr="00733360"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>lowering their quarter-end interest rate exposures in a systematic manner.</w:t>
            </w:r>
          </w:p>
        </w:tc>
      </w:tr>
      <w:tr w:rsidR="0090186D" w:rsidRPr="007D67A9" w:rsidTr="00161317">
        <w:tc>
          <w:tcPr>
            <w:tcW w:w="709" w:type="dxa"/>
          </w:tcPr>
          <w:p w:rsidR="0090186D" w:rsidRPr="00B43FE8" w:rsidRDefault="002E56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</w:tcPr>
          <w:p w:rsidR="0090186D" w:rsidRDefault="0090186D" w:rsidP="00B43FE8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</w:rPr>
              <w:t>Are</w:t>
            </w:r>
            <w:r w:rsidRPr="00847CE9">
              <w:rPr>
                <w:rFonts w:ascii="Times New Roman" w:hAnsi="Times New Roman" w:cs="Times New Roman"/>
                <w:szCs w:val="24"/>
              </w:rPr>
              <w:t xml:space="preserve"> there </w:t>
            </w:r>
            <w:r>
              <w:rPr>
                <w:rFonts w:ascii="Times New Roman" w:hAnsi="Times New Roman" w:cs="Times New Roman"/>
                <w:szCs w:val="24"/>
              </w:rPr>
              <w:t>any</w:t>
            </w:r>
            <w:r w:rsidRPr="00847CE9">
              <w:rPr>
                <w:rFonts w:ascii="Times New Roman" w:hAnsi="Times New Roman" w:cs="Times New Roman"/>
                <w:szCs w:val="24"/>
              </w:rPr>
              <w:t xml:space="preserve"> requirements for AIs </w:t>
            </w:r>
            <w:r>
              <w:rPr>
                <w:rFonts w:ascii="Times New Roman" w:hAnsi="Times New Roman" w:cs="Times New Roman"/>
                <w:szCs w:val="24"/>
              </w:rPr>
              <w:t xml:space="preserve">to </w:t>
            </w:r>
            <w:r w:rsidRPr="00847CE9">
              <w:rPr>
                <w:rFonts w:ascii="Times New Roman" w:hAnsi="Times New Roman" w:cs="Times New Roman"/>
                <w:szCs w:val="24"/>
              </w:rPr>
              <w:t>monitor</w:t>
            </w:r>
            <w:r>
              <w:rPr>
                <w:rFonts w:ascii="Times New Roman" w:hAnsi="Times New Roman" w:cs="Times New Roman"/>
                <w:szCs w:val="24"/>
              </w:rPr>
              <w:t xml:space="preserve"> and test</w:t>
            </w:r>
            <w:r w:rsidRPr="00847CE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whether </w:t>
            </w:r>
            <w:r w:rsidRPr="00847CE9">
              <w:rPr>
                <w:rFonts w:ascii="Times New Roman" w:hAnsi="Times New Roman" w:cs="Times New Roman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 xml:space="preserve">month- or quarter-end </w:t>
            </w:r>
            <w:r w:rsidRPr="00847CE9">
              <w:rPr>
                <w:rFonts w:ascii="Times New Roman" w:hAnsi="Times New Roman" w:cs="Times New Roman"/>
                <w:szCs w:val="24"/>
              </w:rPr>
              <w:t xml:space="preserve">aggregate IRRBB positions </w:t>
            </w:r>
            <w:r>
              <w:rPr>
                <w:rFonts w:ascii="Times New Roman" w:hAnsi="Times New Roman" w:cs="Times New Roman"/>
                <w:szCs w:val="24"/>
              </w:rPr>
              <w:t xml:space="preserve">are </w:t>
            </w:r>
            <w:r w:rsidRPr="00847CE9">
              <w:rPr>
                <w:rFonts w:ascii="Times New Roman" w:hAnsi="Times New Roman" w:cs="Times New Roman"/>
                <w:szCs w:val="24"/>
              </w:rPr>
              <w:t>systema</w:t>
            </w:r>
            <w:r>
              <w:rPr>
                <w:rFonts w:ascii="Times New Roman" w:hAnsi="Times New Roman" w:cs="Times New Roman"/>
                <w:szCs w:val="24"/>
              </w:rPr>
              <w:t>tically lower?</w:t>
            </w:r>
          </w:p>
        </w:tc>
        <w:tc>
          <w:tcPr>
            <w:tcW w:w="9923" w:type="dxa"/>
          </w:tcPr>
          <w:p w:rsidR="0090186D" w:rsidRPr="00B43FE8" w:rsidRDefault="0039765A" w:rsidP="00BB37C9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</w:pPr>
            <w:r w:rsidRPr="0039765A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>Managing IRRBB is an on-going requirement, and the HKMA expect</w:t>
            </w:r>
            <w:r w:rsidR="00BA76E7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>s</w:t>
            </w:r>
            <w:r w:rsidRPr="0039765A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 xml:space="preserve"> all AIs not to engage in window dressing.  If an AI has engaged in window dressing its IRRBB positions, </w:t>
            </w:r>
            <w:r w:rsidR="00BB37C9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>the HKMA will take appropriate supervisory actions against the AI concerned</w:t>
            </w:r>
            <w:r w:rsidRPr="0039765A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>.</w:t>
            </w:r>
          </w:p>
        </w:tc>
      </w:tr>
      <w:tr w:rsidR="002E5612" w:rsidRPr="007D67A9" w:rsidTr="00161317">
        <w:tc>
          <w:tcPr>
            <w:tcW w:w="709" w:type="dxa"/>
          </w:tcPr>
          <w:p w:rsidR="002E5612" w:rsidRPr="00752035" w:rsidRDefault="002E5612" w:rsidP="00E6204A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6</w:t>
            </w:r>
          </w:p>
        </w:tc>
        <w:tc>
          <w:tcPr>
            <w:tcW w:w="3260" w:type="dxa"/>
          </w:tcPr>
          <w:p w:rsidR="002E5612" w:rsidRPr="00847CE9" w:rsidRDefault="002E5612" w:rsidP="00E620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Are there any </w:t>
            </w:r>
            <w:r w:rsidRPr="00847CE9">
              <w:rPr>
                <w:rFonts w:ascii="Times New Roman" w:hAnsi="Times New Roman" w:cs="Times New Roman"/>
                <w:szCs w:val="24"/>
              </w:rPr>
              <w:t xml:space="preserve">guidelines on </w:t>
            </w:r>
            <w:r>
              <w:rPr>
                <w:rFonts w:ascii="Times New Roman" w:hAnsi="Times New Roman" w:cs="Times New Roman"/>
                <w:szCs w:val="24"/>
              </w:rPr>
              <w:t xml:space="preserve">how AIs should monitor </w:t>
            </w:r>
            <w:r w:rsidRPr="00847CE9">
              <w:rPr>
                <w:rFonts w:ascii="Times New Roman" w:hAnsi="Times New Roman" w:cs="Times New Roman"/>
                <w:szCs w:val="24"/>
              </w:rPr>
              <w:t>IRRBB exposures</w:t>
            </w:r>
            <w:r>
              <w:rPr>
                <w:rFonts w:ascii="Times New Roman" w:hAnsi="Times New Roman" w:cs="Times New Roman"/>
                <w:szCs w:val="24"/>
              </w:rPr>
              <w:t>?</w:t>
            </w:r>
          </w:p>
          <w:p w:rsidR="002E5612" w:rsidRPr="00B43FE8" w:rsidRDefault="002E5612" w:rsidP="00E6204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9923" w:type="dxa"/>
          </w:tcPr>
          <w:p w:rsidR="002E5612" w:rsidRDefault="002E5612" w:rsidP="00E6204A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GB" w:eastAsia="zh-HK"/>
              </w:rPr>
              <w:t xml:space="preserve">As different AIs have very different interest rate risk profiles, AIs should set up their own monitoring frameworks that are commensurate with their firm-specific interest rate risk profiles. </w:t>
            </w:r>
            <w:r w:rsidRPr="006A33CC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>At a minimum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>,</w:t>
            </w:r>
            <w:r w:rsidRPr="006A33CC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 xml:space="preserve"> AIs should have a monitoring system in place to check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 xml:space="preserve">(i) </w:t>
            </w:r>
            <w:r w:rsidRPr="006A33CC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 xml:space="preserve">if there are significant changes or expected changes in the financial market that could have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 xml:space="preserve">a </w:t>
            </w:r>
            <w:r w:rsidRPr="006A33CC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 xml:space="preserve">material impact on their IRRBB exposures to the extent that some limits could be breached, and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 xml:space="preserve">(ii) </w:t>
            </w:r>
            <w:r w:rsidRPr="006A33CC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>whether an ad hoc reassessment or recalculation of their IRRBB exposures is warranted. Please also refer to paragraphs 7.5.5 and 7.5.6 in SPM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 xml:space="preserve"> IR-1</w:t>
            </w:r>
            <w:r w:rsidRPr="006A33CC">
              <w:rPr>
                <w:rFonts w:ascii="Times New Roman" w:hAnsi="Times New Roman" w:cs="Times New Roman"/>
                <w:color w:val="000000" w:themeColor="text1"/>
                <w:szCs w:val="24"/>
                <w:highlight w:val="yellow"/>
                <w:lang w:val="en-GB" w:eastAsia="zh-HK"/>
              </w:rPr>
              <w:t>.</w:t>
            </w:r>
          </w:p>
        </w:tc>
      </w:tr>
    </w:tbl>
    <w:p w:rsidR="00F16930" w:rsidRPr="007D67A9" w:rsidRDefault="00F16930">
      <w:pPr>
        <w:rPr>
          <w:rFonts w:ascii="Times New Roman" w:hAnsi="Times New Roman" w:cs="Times New Roman"/>
          <w:szCs w:val="24"/>
        </w:rPr>
      </w:pPr>
    </w:p>
    <w:sectPr w:rsidR="00F16930" w:rsidRPr="007D67A9" w:rsidSect="00FF1BFF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4C" w:rsidRDefault="0056574C" w:rsidP="00AE1714">
      <w:r>
        <w:separator/>
      </w:r>
    </w:p>
  </w:endnote>
  <w:endnote w:type="continuationSeparator" w:id="0">
    <w:p w:rsidR="0056574C" w:rsidRDefault="0056574C" w:rsidP="00AE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564225"/>
      <w:docPartObj>
        <w:docPartGallery w:val="Page Numbers (Bottom of Page)"/>
        <w:docPartUnique/>
      </w:docPartObj>
    </w:sdtPr>
    <w:sdtEndPr/>
    <w:sdtContent>
      <w:p w:rsidR="00E066E3" w:rsidRDefault="00E066E3" w:rsidP="00E066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483" w:rsidRPr="00790483">
          <w:rPr>
            <w:noProof/>
            <w:lang w:val="zh-TW"/>
          </w:rPr>
          <w:t>1</w:t>
        </w:r>
        <w:r>
          <w:fldChar w:fldCharType="end"/>
        </w:r>
      </w:p>
    </w:sdtContent>
  </w:sdt>
  <w:p w:rsidR="008632E5" w:rsidRDefault="00863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4C" w:rsidRDefault="0056574C" w:rsidP="00AE1714">
      <w:r>
        <w:separator/>
      </w:r>
    </w:p>
  </w:footnote>
  <w:footnote w:type="continuationSeparator" w:id="0">
    <w:p w:rsidR="0056574C" w:rsidRDefault="0056574C" w:rsidP="00AE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305"/>
    <w:multiLevelType w:val="hybridMultilevel"/>
    <w:tmpl w:val="07361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C61BA5"/>
    <w:multiLevelType w:val="hybridMultilevel"/>
    <w:tmpl w:val="2BA47AC8"/>
    <w:lvl w:ilvl="0" w:tplc="067AF3E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81F1D8C"/>
    <w:multiLevelType w:val="hybridMultilevel"/>
    <w:tmpl w:val="39B89924"/>
    <w:lvl w:ilvl="0" w:tplc="6380AC58">
      <w:start w:val="5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8300989"/>
    <w:multiLevelType w:val="hybridMultilevel"/>
    <w:tmpl w:val="CB8088EC"/>
    <w:lvl w:ilvl="0" w:tplc="9E989C3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30"/>
    <w:rsid w:val="000107B5"/>
    <w:rsid w:val="000272FC"/>
    <w:rsid w:val="00030756"/>
    <w:rsid w:val="00090867"/>
    <w:rsid w:val="000916A0"/>
    <w:rsid w:val="000D7DD9"/>
    <w:rsid w:val="00110359"/>
    <w:rsid w:val="00126D83"/>
    <w:rsid w:val="001328DC"/>
    <w:rsid w:val="00161317"/>
    <w:rsid w:val="0016646B"/>
    <w:rsid w:val="001B17D6"/>
    <w:rsid w:val="00220D63"/>
    <w:rsid w:val="00226772"/>
    <w:rsid w:val="00256545"/>
    <w:rsid w:val="00286234"/>
    <w:rsid w:val="002B79E5"/>
    <w:rsid w:val="002C1861"/>
    <w:rsid w:val="002D2629"/>
    <w:rsid w:val="002D2DED"/>
    <w:rsid w:val="002D5BBF"/>
    <w:rsid w:val="002E5612"/>
    <w:rsid w:val="002F0BA9"/>
    <w:rsid w:val="002F0DC1"/>
    <w:rsid w:val="002F375C"/>
    <w:rsid w:val="002F483A"/>
    <w:rsid w:val="0030512D"/>
    <w:rsid w:val="00310A21"/>
    <w:rsid w:val="00382479"/>
    <w:rsid w:val="00395CBE"/>
    <w:rsid w:val="0039765A"/>
    <w:rsid w:val="003D05E8"/>
    <w:rsid w:val="003E6197"/>
    <w:rsid w:val="003F6F4A"/>
    <w:rsid w:val="00401A55"/>
    <w:rsid w:val="00427F2F"/>
    <w:rsid w:val="00454F5B"/>
    <w:rsid w:val="00455B8E"/>
    <w:rsid w:val="004A215F"/>
    <w:rsid w:val="004C6839"/>
    <w:rsid w:val="004F6D84"/>
    <w:rsid w:val="0051174C"/>
    <w:rsid w:val="00550C8C"/>
    <w:rsid w:val="00550DC8"/>
    <w:rsid w:val="0056574C"/>
    <w:rsid w:val="00566B13"/>
    <w:rsid w:val="005D1561"/>
    <w:rsid w:val="005E4761"/>
    <w:rsid w:val="00612832"/>
    <w:rsid w:val="00634877"/>
    <w:rsid w:val="00634E4F"/>
    <w:rsid w:val="00696D16"/>
    <w:rsid w:val="006A33CC"/>
    <w:rsid w:val="006B5630"/>
    <w:rsid w:val="006E4E71"/>
    <w:rsid w:val="006F38EF"/>
    <w:rsid w:val="007278B0"/>
    <w:rsid w:val="00733360"/>
    <w:rsid w:val="0075035F"/>
    <w:rsid w:val="00752035"/>
    <w:rsid w:val="00790483"/>
    <w:rsid w:val="00795A7E"/>
    <w:rsid w:val="007D67A9"/>
    <w:rsid w:val="007E31C1"/>
    <w:rsid w:val="007F79AE"/>
    <w:rsid w:val="00847CE9"/>
    <w:rsid w:val="008632E5"/>
    <w:rsid w:val="008952ED"/>
    <w:rsid w:val="008D03A2"/>
    <w:rsid w:val="008D17C2"/>
    <w:rsid w:val="0090186D"/>
    <w:rsid w:val="00903598"/>
    <w:rsid w:val="0093114D"/>
    <w:rsid w:val="00963B7C"/>
    <w:rsid w:val="009B6A2E"/>
    <w:rsid w:val="009C1600"/>
    <w:rsid w:val="009C5950"/>
    <w:rsid w:val="00A004AE"/>
    <w:rsid w:val="00A022FE"/>
    <w:rsid w:val="00A11427"/>
    <w:rsid w:val="00A4155A"/>
    <w:rsid w:val="00A56F28"/>
    <w:rsid w:val="00A57891"/>
    <w:rsid w:val="00AC43B1"/>
    <w:rsid w:val="00AC58FE"/>
    <w:rsid w:val="00AE1714"/>
    <w:rsid w:val="00AE2542"/>
    <w:rsid w:val="00AE5C53"/>
    <w:rsid w:val="00AF3E50"/>
    <w:rsid w:val="00B32489"/>
    <w:rsid w:val="00B43FE8"/>
    <w:rsid w:val="00B5438F"/>
    <w:rsid w:val="00BA1FD1"/>
    <w:rsid w:val="00BA76E7"/>
    <w:rsid w:val="00BB37C9"/>
    <w:rsid w:val="00BC5F0C"/>
    <w:rsid w:val="00C71FB7"/>
    <w:rsid w:val="00C95DED"/>
    <w:rsid w:val="00CA4A35"/>
    <w:rsid w:val="00CC6D1C"/>
    <w:rsid w:val="00CF6899"/>
    <w:rsid w:val="00D11313"/>
    <w:rsid w:val="00D55016"/>
    <w:rsid w:val="00DA677A"/>
    <w:rsid w:val="00DB2640"/>
    <w:rsid w:val="00E003C5"/>
    <w:rsid w:val="00E066E3"/>
    <w:rsid w:val="00E066E9"/>
    <w:rsid w:val="00E06AE9"/>
    <w:rsid w:val="00E2030D"/>
    <w:rsid w:val="00E35BD5"/>
    <w:rsid w:val="00E72177"/>
    <w:rsid w:val="00E90649"/>
    <w:rsid w:val="00E90767"/>
    <w:rsid w:val="00EA5610"/>
    <w:rsid w:val="00EB5FAD"/>
    <w:rsid w:val="00EB6E84"/>
    <w:rsid w:val="00EC2D09"/>
    <w:rsid w:val="00ED4C83"/>
    <w:rsid w:val="00EE680F"/>
    <w:rsid w:val="00F16930"/>
    <w:rsid w:val="00F17649"/>
    <w:rsid w:val="00F76190"/>
    <w:rsid w:val="00F8636A"/>
    <w:rsid w:val="00FC238E"/>
    <w:rsid w:val="00FD2286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31C1"/>
    <w:pPr>
      <w:widowControl/>
      <w:spacing w:after="200" w:line="276" w:lineRule="auto"/>
      <w:ind w:left="720"/>
      <w:contextualSpacing/>
    </w:pPr>
    <w:rPr>
      <w:kern w:val="0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E31C1"/>
    <w:rPr>
      <w:kern w:val="0"/>
      <w:sz w:val="22"/>
      <w:lang w:val="en-GB"/>
    </w:rPr>
  </w:style>
  <w:style w:type="paragraph" w:styleId="BodyText">
    <w:name w:val="Body Text"/>
    <w:basedOn w:val="Normal"/>
    <w:link w:val="BodyTextChar"/>
    <w:rsid w:val="00BC5F0C"/>
    <w:pPr>
      <w:widowControl/>
      <w:spacing w:after="240"/>
    </w:pPr>
    <w:rPr>
      <w:rFonts w:ascii="Arial" w:eastAsia="新細明體" w:hAnsi="Arial" w:cs="Times New Roman"/>
      <w:kern w:val="0"/>
      <w:sz w:val="20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BC5F0C"/>
    <w:rPr>
      <w:rFonts w:ascii="Arial" w:eastAsia="新細明體" w:hAnsi="Arial" w:cs="Times New Roman"/>
      <w:kern w:val="0"/>
      <w:sz w:val="20"/>
      <w:szCs w:val="20"/>
      <w:lang w:val="x-none" w:eastAsia="en-US"/>
    </w:rPr>
  </w:style>
  <w:style w:type="paragraph" w:customStyle="1" w:styleId="Default">
    <w:name w:val="Default"/>
    <w:rsid w:val="00AF3E50"/>
    <w:pPr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2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28"/>
    <w:rPr>
      <w:rFonts w:asciiTheme="majorHAnsi" w:eastAsiaTheme="majorEastAsia" w:hAnsiTheme="majorHAnsi" w:cstheme="majorBid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1714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7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17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5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8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32E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32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31C1"/>
    <w:pPr>
      <w:widowControl/>
      <w:spacing w:after="200" w:line="276" w:lineRule="auto"/>
      <w:ind w:left="720"/>
      <w:contextualSpacing/>
    </w:pPr>
    <w:rPr>
      <w:kern w:val="0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E31C1"/>
    <w:rPr>
      <w:kern w:val="0"/>
      <w:sz w:val="22"/>
      <w:lang w:val="en-GB"/>
    </w:rPr>
  </w:style>
  <w:style w:type="paragraph" w:styleId="BodyText">
    <w:name w:val="Body Text"/>
    <w:basedOn w:val="Normal"/>
    <w:link w:val="BodyTextChar"/>
    <w:rsid w:val="00BC5F0C"/>
    <w:pPr>
      <w:widowControl/>
      <w:spacing w:after="240"/>
    </w:pPr>
    <w:rPr>
      <w:rFonts w:ascii="Arial" w:eastAsia="新細明體" w:hAnsi="Arial" w:cs="Times New Roman"/>
      <w:kern w:val="0"/>
      <w:sz w:val="20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BC5F0C"/>
    <w:rPr>
      <w:rFonts w:ascii="Arial" w:eastAsia="新細明體" w:hAnsi="Arial" w:cs="Times New Roman"/>
      <w:kern w:val="0"/>
      <w:sz w:val="20"/>
      <w:szCs w:val="20"/>
      <w:lang w:val="x-none" w:eastAsia="en-US"/>
    </w:rPr>
  </w:style>
  <w:style w:type="paragraph" w:customStyle="1" w:styleId="Default">
    <w:name w:val="Default"/>
    <w:rsid w:val="00AF3E50"/>
    <w:pPr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2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28"/>
    <w:rPr>
      <w:rFonts w:asciiTheme="majorHAnsi" w:eastAsiaTheme="majorEastAsia" w:hAnsiTheme="majorHAnsi" w:cstheme="majorBid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1714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7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17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5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8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32E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32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8096-AF08-4CCF-8E95-8CD1C2A0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3592</Characters>
  <Application>Microsoft Office Word</Application>
  <DocSecurity>0</DocSecurity>
  <Lines>149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Monetary Authority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Bluhm, Marcel</dc:creator>
  <cp:lastModifiedBy>CHAN Po-yee, Bonnie</cp:lastModifiedBy>
  <cp:revision>2</cp:revision>
  <cp:lastPrinted>2019-02-04T06:37:00Z</cp:lastPrinted>
  <dcterms:created xsi:type="dcterms:W3CDTF">2019-04-30T10:55:00Z</dcterms:created>
  <dcterms:modified xsi:type="dcterms:W3CDTF">2019-04-30T10:55:00Z</dcterms:modified>
</cp:coreProperties>
</file>